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D44AC" w:rsidRDefault="00DD0FA5">
      <w:pPr>
        <w:spacing w:after="0" w:line="259" w:lineRule="auto"/>
        <w:rPr>
          <w:rFonts w:ascii="Arial" w:eastAsia="Arial" w:hAnsi="Arial" w:cs="Arial"/>
          <w:b/>
          <w:sz w:val="36"/>
          <w:szCs w:val="36"/>
        </w:rPr>
      </w:pPr>
      <w:bookmarkStart w:id="0" w:name="_heading=h.gjdgxs" w:colFirst="0" w:colLast="0"/>
      <w:bookmarkEnd w:id="0"/>
      <w:r>
        <w:rPr>
          <w:rFonts w:ascii="Arial" w:eastAsia="Arial" w:hAnsi="Arial" w:cs="Arial"/>
          <w:b/>
          <w:sz w:val="36"/>
          <w:szCs w:val="36"/>
        </w:rPr>
        <w:t>Framework Schedule 1 (Specification)</w:t>
      </w:r>
    </w:p>
    <w:p w:rsidR="007D44AC" w:rsidRDefault="00DD0FA5">
      <w:pPr>
        <w:pBdr>
          <w:top w:val="nil"/>
          <w:left w:val="nil"/>
          <w:bottom w:val="nil"/>
          <w:right w:val="nil"/>
          <w:between w:val="nil"/>
        </w:pBdr>
        <w:tabs>
          <w:tab w:val="left" w:pos="709"/>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This Schedule sets out what we and our buyers want.</w:t>
      </w:r>
    </w:p>
    <w:p w:rsidR="007D44AC" w:rsidRDefault="00E5197D">
      <w:pPr>
        <w:pBdr>
          <w:top w:val="nil"/>
          <w:left w:val="nil"/>
          <w:bottom w:val="nil"/>
          <w:right w:val="nil"/>
          <w:between w:val="nil"/>
        </w:pBdr>
        <w:tabs>
          <w:tab w:val="left" w:pos="709"/>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w:t>
      </w:r>
      <w:r w:rsidR="00DD0FA5">
        <w:rPr>
          <w:rFonts w:ascii="Arial" w:eastAsia="Arial" w:hAnsi="Arial" w:cs="Arial"/>
          <w:color w:val="000000"/>
          <w:sz w:val="24"/>
          <w:szCs w:val="24"/>
        </w:rPr>
        <w:t xml:space="preserve">upplier must only provide the Deliverables </w:t>
      </w:r>
      <w:r w:rsidR="00271AFC">
        <w:rPr>
          <w:rFonts w:ascii="Arial" w:eastAsia="Arial" w:hAnsi="Arial" w:cs="Arial"/>
          <w:color w:val="000000"/>
          <w:sz w:val="24"/>
          <w:szCs w:val="24"/>
        </w:rPr>
        <w:t xml:space="preserve">(e.g. </w:t>
      </w:r>
      <w:r>
        <w:rPr>
          <w:rFonts w:ascii="Arial" w:eastAsia="Arial" w:hAnsi="Arial" w:cs="Arial"/>
          <w:color w:val="000000"/>
          <w:sz w:val="24"/>
          <w:szCs w:val="24"/>
        </w:rPr>
        <w:t>s</w:t>
      </w:r>
      <w:r w:rsidR="00271AFC">
        <w:rPr>
          <w:rFonts w:ascii="Arial" w:eastAsia="Arial" w:hAnsi="Arial" w:cs="Arial"/>
          <w:color w:val="000000"/>
          <w:sz w:val="24"/>
          <w:szCs w:val="24"/>
        </w:rPr>
        <w:t xml:space="preserve">ervices) </w:t>
      </w:r>
      <w:r w:rsidR="00DD0FA5">
        <w:rPr>
          <w:rFonts w:ascii="Arial" w:eastAsia="Arial" w:hAnsi="Arial" w:cs="Arial"/>
          <w:color w:val="000000"/>
          <w:sz w:val="24"/>
          <w:szCs w:val="24"/>
        </w:rPr>
        <w:t xml:space="preserve">for the Lot that they have been appointed to. </w:t>
      </w:r>
    </w:p>
    <w:p w:rsidR="007D44AC" w:rsidRDefault="00DD0FA5">
      <w:pPr>
        <w:pBdr>
          <w:top w:val="nil"/>
          <w:left w:val="nil"/>
          <w:bottom w:val="nil"/>
          <w:right w:val="nil"/>
          <w:between w:val="nil"/>
        </w:pBdr>
        <w:tabs>
          <w:tab w:val="left" w:pos="709"/>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For all Lots and/or Deliverables, the Supplier must help Buyers comply with any specific applicable Standards of the Buyer.</w:t>
      </w:r>
    </w:p>
    <w:p w:rsidR="007D44AC" w:rsidRDefault="00DD0FA5">
      <w:pPr>
        <w:pBdr>
          <w:top w:val="nil"/>
          <w:left w:val="nil"/>
          <w:bottom w:val="nil"/>
          <w:right w:val="nil"/>
          <w:between w:val="nil"/>
        </w:pBdr>
        <w:tabs>
          <w:tab w:val="left" w:pos="709"/>
          <w:tab w:val="left" w:pos="28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Deliverables and any Standards set out in Paragraph 1 below may be refined (to the extent permitted and set out in the Order Form) by a Buyer during a Further Competit</w:t>
      </w:r>
      <w:r w:rsidR="00E5197D">
        <w:rPr>
          <w:rFonts w:ascii="Arial" w:eastAsia="Arial" w:hAnsi="Arial" w:cs="Arial"/>
          <w:color w:val="000000"/>
          <w:sz w:val="24"/>
          <w:szCs w:val="24"/>
        </w:rPr>
        <w:t xml:space="preserve">ion Procedure to reflect its </w:t>
      </w:r>
      <w:r w:rsidR="00537960">
        <w:rPr>
          <w:rFonts w:ascii="Arial" w:eastAsia="Arial" w:hAnsi="Arial" w:cs="Arial"/>
          <w:color w:val="000000"/>
          <w:sz w:val="24"/>
          <w:szCs w:val="24"/>
        </w:rPr>
        <w:t xml:space="preserve">service </w:t>
      </w:r>
      <w:r w:rsidR="00E5197D">
        <w:rPr>
          <w:rFonts w:ascii="Arial" w:eastAsia="Arial" w:hAnsi="Arial" w:cs="Arial"/>
          <w:color w:val="000000"/>
          <w:sz w:val="24"/>
          <w:szCs w:val="24"/>
        </w:rPr>
        <w:t>r</w:t>
      </w:r>
      <w:r>
        <w:rPr>
          <w:rFonts w:ascii="Arial" w:eastAsia="Arial" w:hAnsi="Arial" w:cs="Arial"/>
          <w:color w:val="000000"/>
          <w:sz w:val="24"/>
          <w:szCs w:val="24"/>
        </w:rPr>
        <w:t>equirements for entering a particular Call-Off Contract.</w:t>
      </w:r>
    </w:p>
    <w:p w:rsidR="007D44AC" w:rsidRDefault="007D44AC">
      <w:p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highlight w:val="yellow"/>
        </w:rPr>
      </w:pPr>
    </w:p>
    <w:p w:rsidR="007D44AC" w:rsidRDefault="00DD0FA5">
      <w:pPr>
        <w:numPr>
          <w:ilvl w:val="0"/>
          <w:numId w:val="9"/>
        </w:numPr>
        <w:shd w:val="clear" w:color="auto" w:fill="FFFFFF"/>
        <w:rPr>
          <w:b/>
          <w:sz w:val="24"/>
          <w:szCs w:val="24"/>
        </w:rPr>
      </w:pPr>
      <w:r>
        <w:rPr>
          <w:rFonts w:ascii="Arial" w:eastAsia="Arial" w:hAnsi="Arial" w:cs="Arial"/>
          <w:b/>
          <w:sz w:val="24"/>
          <w:szCs w:val="24"/>
        </w:rPr>
        <w:t xml:space="preserve">INTRODUCTION </w:t>
      </w:r>
    </w:p>
    <w:p w:rsidR="007D44AC" w:rsidRDefault="00DD0FA5">
      <w:pPr>
        <w:numPr>
          <w:ilvl w:val="1"/>
          <w:numId w:val="9"/>
        </w:numPr>
        <w:tabs>
          <w:tab w:val="left" w:pos="1134"/>
        </w:tabs>
        <w:spacing w:line="240" w:lineRule="auto"/>
        <w:rPr>
          <w:sz w:val="24"/>
          <w:szCs w:val="24"/>
        </w:rPr>
      </w:pPr>
      <w:r>
        <w:rPr>
          <w:rFonts w:ascii="Arial" w:eastAsia="Arial" w:hAnsi="Arial" w:cs="Arial"/>
          <w:sz w:val="24"/>
          <w:szCs w:val="24"/>
        </w:rPr>
        <w:t>All defined terms are to be defined in line with Joint Schedule 1 (Definitions) unless otherwise stated or defined in this document.</w:t>
      </w:r>
    </w:p>
    <w:p w:rsidR="007D44AC" w:rsidRDefault="00DD0FA5">
      <w:pPr>
        <w:numPr>
          <w:ilvl w:val="1"/>
          <w:numId w:val="9"/>
        </w:numPr>
        <w:tabs>
          <w:tab w:val="left" w:pos="1134"/>
        </w:tabs>
        <w:spacing w:line="240" w:lineRule="auto"/>
        <w:rPr>
          <w:sz w:val="24"/>
          <w:szCs w:val="24"/>
        </w:rPr>
      </w:pPr>
      <w:r>
        <w:rPr>
          <w:rFonts w:ascii="Arial" w:eastAsia="Arial" w:hAnsi="Arial" w:cs="Arial"/>
          <w:sz w:val="24"/>
          <w:szCs w:val="24"/>
        </w:rPr>
        <w:t xml:space="preserve">The purpose of this Framework is to complement the existing government legal </w:t>
      </w:r>
      <w:r w:rsidR="00537960">
        <w:rPr>
          <w:rFonts w:ascii="Arial" w:eastAsia="Arial" w:hAnsi="Arial" w:cs="Arial"/>
          <w:sz w:val="24"/>
          <w:szCs w:val="24"/>
        </w:rPr>
        <w:t xml:space="preserve">agreements </w:t>
      </w:r>
      <w:r>
        <w:rPr>
          <w:rFonts w:ascii="Arial" w:eastAsia="Arial" w:hAnsi="Arial" w:cs="Arial"/>
          <w:sz w:val="24"/>
          <w:szCs w:val="24"/>
        </w:rPr>
        <w:t>(</w:t>
      </w:r>
      <w:hyperlink r:id="rId8">
        <w:r>
          <w:rPr>
            <w:rFonts w:ascii="Arial" w:eastAsia="Arial" w:hAnsi="Arial" w:cs="Arial"/>
            <w:color w:val="1155CC"/>
            <w:sz w:val="24"/>
            <w:szCs w:val="24"/>
            <w:u w:val="single"/>
          </w:rPr>
          <w:t>RM3786</w:t>
        </w:r>
      </w:hyperlink>
      <w:r>
        <w:rPr>
          <w:rFonts w:ascii="Arial" w:eastAsia="Arial" w:hAnsi="Arial" w:cs="Arial"/>
          <w:color w:val="0B0C0C"/>
          <w:sz w:val="24"/>
          <w:szCs w:val="24"/>
        </w:rPr>
        <w:t xml:space="preserve">, </w:t>
      </w:r>
      <w:hyperlink r:id="rId9">
        <w:r>
          <w:rPr>
            <w:rFonts w:ascii="Arial" w:eastAsia="Arial" w:hAnsi="Arial" w:cs="Arial"/>
            <w:color w:val="1155CC"/>
            <w:sz w:val="24"/>
            <w:szCs w:val="24"/>
            <w:u w:val="single"/>
          </w:rPr>
          <w:t>RM3787</w:t>
        </w:r>
      </w:hyperlink>
      <w:r w:rsidR="00537960">
        <w:rPr>
          <w:rFonts w:ascii="Arial" w:eastAsia="Arial" w:hAnsi="Arial" w:cs="Arial"/>
          <w:color w:val="0B0C0C"/>
          <w:sz w:val="24"/>
          <w:szCs w:val="24"/>
        </w:rPr>
        <w:t xml:space="preserve"> and</w:t>
      </w:r>
      <w:r>
        <w:rPr>
          <w:rFonts w:ascii="Arial" w:eastAsia="Arial" w:hAnsi="Arial" w:cs="Arial"/>
          <w:color w:val="0B0C0C"/>
          <w:sz w:val="24"/>
          <w:szCs w:val="24"/>
        </w:rPr>
        <w:t xml:space="preserve"> </w:t>
      </w:r>
      <w:hyperlink r:id="rId10">
        <w:r>
          <w:rPr>
            <w:rFonts w:ascii="Arial" w:eastAsia="Arial" w:hAnsi="Arial" w:cs="Arial"/>
            <w:color w:val="1155CC"/>
            <w:sz w:val="24"/>
            <w:szCs w:val="24"/>
            <w:u w:val="single"/>
          </w:rPr>
          <w:t>RM3756</w:t>
        </w:r>
      </w:hyperlink>
      <w:r>
        <w:rPr>
          <w:rFonts w:ascii="Arial" w:eastAsia="Arial" w:hAnsi="Arial" w:cs="Arial"/>
          <w:color w:val="0B0C0C"/>
          <w:sz w:val="24"/>
          <w:szCs w:val="24"/>
        </w:rPr>
        <w:t>)</w:t>
      </w:r>
      <w:r>
        <w:rPr>
          <w:rFonts w:ascii="Arial" w:eastAsia="Arial" w:hAnsi="Arial" w:cs="Arial"/>
          <w:sz w:val="24"/>
          <w:szCs w:val="24"/>
        </w:rPr>
        <w:t xml:space="preserve">, specifically to assist with international trade disputes and negotiations. </w:t>
      </w:r>
    </w:p>
    <w:p w:rsidR="007D44AC" w:rsidRDefault="00DD0FA5">
      <w:pPr>
        <w:numPr>
          <w:ilvl w:val="1"/>
          <w:numId w:val="9"/>
        </w:numPr>
        <w:tabs>
          <w:tab w:val="left" w:pos="1134"/>
        </w:tabs>
        <w:spacing w:line="240" w:lineRule="auto"/>
        <w:rPr>
          <w:sz w:val="24"/>
          <w:szCs w:val="24"/>
        </w:rPr>
      </w:pPr>
      <w:r>
        <w:rPr>
          <w:rFonts w:ascii="Arial" w:eastAsia="Arial" w:hAnsi="Arial" w:cs="Arial"/>
          <w:sz w:val="24"/>
          <w:szCs w:val="24"/>
        </w:rPr>
        <w:t xml:space="preserve">Suppliers shall be able to offer market leading legal expertise and a market leading level of service in order to meet Buyer’s needs and to deliver matters within the scope of this </w:t>
      </w:r>
      <w:r w:rsidR="00537960">
        <w:rPr>
          <w:rFonts w:ascii="Arial" w:eastAsia="Arial" w:hAnsi="Arial" w:cs="Arial"/>
          <w:sz w:val="24"/>
          <w:szCs w:val="24"/>
        </w:rPr>
        <w:t>Framework</w:t>
      </w:r>
      <w:r>
        <w:rPr>
          <w:rFonts w:ascii="Arial" w:eastAsia="Arial" w:hAnsi="Arial" w:cs="Arial"/>
          <w:sz w:val="24"/>
          <w:szCs w:val="24"/>
        </w:rPr>
        <w:t>. Firms must have appropriately trained and legally qualified lawyers in accordance with section 6.2.</w:t>
      </w:r>
    </w:p>
    <w:p w:rsidR="007D44AC" w:rsidRDefault="00DD0FA5">
      <w:pPr>
        <w:numPr>
          <w:ilvl w:val="1"/>
          <w:numId w:val="9"/>
        </w:numPr>
        <w:tabs>
          <w:tab w:val="left" w:pos="1134"/>
        </w:tabs>
        <w:spacing w:line="240" w:lineRule="auto"/>
        <w:rPr>
          <w:sz w:val="24"/>
          <w:szCs w:val="24"/>
        </w:rPr>
      </w:pPr>
      <w:r>
        <w:rPr>
          <w:rFonts w:ascii="Arial" w:eastAsia="Arial" w:hAnsi="Arial" w:cs="Arial"/>
          <w:sz w:val="24"/>
          <w:szCs w:val="24"/>
        </w:rPr>
        <w:t xml:space="preserve">The principal Buyer for both lots of the Framework is the Department for International Trade (DIT). Current government policy is that all UK Central Government Ministerial Departments (excluding Regulators), their Executive Agencies and the successors of these bodies will procure legal services through this Framework Contract, where there is a need for services within the scope of this Contract. Other Central Government bodies are also enabled to use this Framework Contract but are not subject to the Policy. </w:t>
      </w:r>
    </w:p>
    <w:p w:rsidR="007D44AC" w:rsidRDefault="00DD0FA5">
      <w:pPr>
        <w:numPr>
          <w:ilvl w:val="1"/>
          <w:numId w:val="9"/>
        </w:numPr>
        <w:tabs>
          <w:tab w:val="left" w:pos="1134"/>
        </w:tabs>
        <w:spacing w:line="240" w:lineRule="auto"/>
        <w:rPr>
          <w:sz w:val="24"/>
          <w:szCs w:val="24"/>
        </w:rPr>
      </w:pPr>
      <w:r>
        <w:rPr>
          <w:rFonts w:ascii="Arial" w:eastAsia="Arial" w:hAnsi="Arial" w:cs="Arial"/>
          <w:sz w:val="24"/>
          <w:szCs w:val="24"/>
        </w:rPr>
        <w:t xml:space="preserve">The Customer List within the OJEU notice for this procurement￼ sets out the identities of the Buyers authorised to use this Framework Contract (as may be amended or updated from time to time). </w:t>
      </w:r>
    </w:p>
    <w:p w:rsidR="007D44AC" w:rsidRDefault="00DD0FA5">
      <w:pPr>
        <w:numPr>
          <w:ilvl w:val="1"/>
          <w:numId w:val="9"/>
        </w:numPr>
        <w:tabs>
          <w:tab w:val="left" w:pos="1134"/>
        </w:tabs>
        <w:spacing w:line="240" w:lineRule="auto"/>
        <w:rPr>
          <w:sz w:val="24"/>
          <w:szCs w:val="24"/>
        </w:rPr>
      </w:pPr>
      <w:r>
        <w:rPr>
          <w:rFonts w:ascii="Arial" w:eastAsia="Arial" w:hAnsi="Arial" w:cs="Arial"/>
          <w:sz w:val="24"/>
          <w:szCs w:val="24"/>
        </w:rPr>
        <w:t xml:space="preserve">Buyers listed in paragraph 1.4 as subject to the Policy will not be required to procure advice and services using this Framework Contract where the following circumstances apply to the Buyer: </w:t>
      </w:r>
    </w:p>
    <w:p w:rsidR="007D44AC" w:rsidRDefault="00DD0FA5">
      <w:pPr>
        <w:numPr>
          <w:ilvl w:val="2"/>
          <w:numId w:val="9"/>
        </w:numPr>
        <w:tabs>
          <w:tab w:val="left" w:pos="1134"/>
        </w:tabs>
        <w:spacing w:line="240" w:lineRule="auto"/>
        <w:rPr>
          <w:sz w:val="24"/>
          <w:szCs w:val="24"/>
        </w:rPr>
      </w:pPr>
      <w:r>
        <w:rPr>
          <w:rFonts w:ascii="Arial" w:eastAsia="Arial" w:hAnsi="Arial" w:cs="Arial"/>
          <w:sz w:val="24"/>
          <w:szCs w:val="24"/>
        </w:rPr>
        <w:t>A Buyer functions in whole or part as a regulator;</w:t>
      </w:r>
    </w:p>
    <w:p w:rsidR="007D44AC" w:rsidRDefault="00DD0FA5">
      <w:pPr>
        <w:numPr>
          <w:ilvl w:val="2"/>
          <w:numId w:val="9"/>
        </w:numPr>
        <w:tabs>
          <w:tab w:val="left" w:pos="1134"/>
        </w:tabs>
        <w:spacing w:line="240" w:lineRule="auto"/>
        <w:rPr>
          <w:sz w:val="24"/>
          <w:szCs w:val="24"/>
        </w:rPr>
      </w:pPr>
      <w:r>
        <w:rPr>
          <w:rFonts w:ascii="Arial" w:eastAsia="Arial" w:hAnsi="Arial" w:cs="Arial"/>
          <w:sz w:val="24"/>
          <w:szCs w:val="24"/>
        </w:rPr>
        <w:t xml:space="preserve">The value of the fees the Buyer expects to be incurred in relation to its requirement, aggregated with similar requirements relating to the </w:t>
      </w:r>
      <w:r>
        <w:rPr>
          <w:rFonts w:ascii="Arial" w:eastAsia="Arial" w:hAnsi="Arial" w:cs="Arial"/>
          <w:sz w:val="24"/>
          <w:szCs w:val="24"/>
        </w:rPr>
        <w:lastRenderedPageBreak/>
        <w:t xml:space="preserve">same policy, project or exercise, amounts to twenty thousand pounds (£20,000) or less; </w:t>
      </w:r>
    </w:p>
    <w:p w:rsidR="007D44AC" w:rsidRDefault="00DD0FA5">
      <w:pPr>
        <w:numPr>
          <w:ilvl w:val="2"/>
          <w:numId w:val="9"/>
        </w:numPr>
        <w:tabs>
          <w:tab w:val="left" w:pos="1134"/>
        </w:tabs>
        <w:spacing w:line="240" w:lineRule="auto"/>
        <w:rPr>
          <w:sz w:val="24"/>
          <w:szCs w:val="24"/>
        </w:rPr>
      </w:pPr>
      <w:r>
        <w:rPr>
          <w:rFonts w:ascii="Arial" w:eastAsia="Arial" w:hAnsi="Arial" w:cs="Arial"/>
          <w:sz w:val="24"/>
          <w:szCs w:val="24"/>
        </w:rPr>
        <w:t xml:space="preserve">The Buyer has a specialist requirement for a Service which cannot be met through this Framework Contract; or </w:t>
      </w:r>
    </w:p>
    <w:p w:rsidR="007D44AC" w:rsidRDefault="00DD0FA5">
      <w:pPr>
        <w:numPr>
          <w:ilvl w:val="2"/>
          <w:numId w:val="9"/>
        </w:numPr>
        <w:tabs>
          <w:tab w:val="left" w:pos="1134"/>
        </w:tabs>
        <w:spacing w:line="240" w:lineRule="auto"/>
        <w:rPr>
          <w:sz w:val="24"/>
          <w:szCs w:val="24"/>
        </w:rPr>
      </w:pPr>
      <w:r>
        <w:rPr>
          <w:rFonts w:ascii="Arial" w:eastAsia="Arial" w:hAnsi="Arial" w:cs="Arial"/>
          <w:sz w:val="24"/>
          <w:szCs w:val="24"/>
        </w:rPr>
        <w:t xml:space="preserve">The Buyer is able to demonstrate they can get better value for money from an alternative arrangement, and in either case of paragraph 1.6.2 and 1.6.3 above, the Buyer has acquired permission from the designated authoriser. The designated authoriser for these purposes shall be such person as is notified from time to time to the Supplier by the Authority </w:t>
      </w:r>
    </w:p>
    <w:p w:rsidR="007D44AC" w:rsidRDefault="00DD0FA5">
      <w:pPr>
        <w:numPr>
          <w:ilvl w:val="1"/>
          <w:numId w:val="9"/>
        </w:numPr>
        <w:tabs>
          <w:tab w:val="left" w:pos="1134"/>
        </w:tabs>
        <w:spacing w:line="240" w:lineRule="auto"/>
        <w:rPr>
          <w:sz w:val="24"/>
          <w:szCs w:val="24"/>
        </w:rPr>
      </w:pPr>
      <w:r>
        <w:rPr>
          <w:rFonts w:ascii="Arial" w:eastAsia="Arial" w:hAnsi="Arial" w:cs="Arial"/>
          <w:sz w:val="24"/>
          <w:szCs w:val="24"/>
        </w:rPr>
        <w:t xml:space="preserve">This Framework Contract will be managed centrally by the Authority. The Call-Off Contract will be managed by the respective Buyer(s). </w:t>
      </w:r>
    </w:p>
    <w:p w:rsidR="007D44AC" w:rsidRDefault="00DD0FA5">
      <w:pPr>
        <w:shd w:val="clear" w:color="auto" w:fill="FFFFFF"/>
        <w:tabs>
          <w:tab w:val="left" w:pos="1134"/>
        </w:tabs>
        <w:spacing w:line="240" w:lineRule="auto"/>
        <w:ind w:left="1560" w:right="120"/>
        <w:jc w:val="both"/>
        <w:rPr>
          <w:rFonts w:ascii="Arial" w:eastAsia="Arial" w:hAnsi="Arial" w:cs="Arial"/>
          <w:sz w:val="24"/>
          <w:szCs w:val="24"/>
        </w:rPr>
      </w:pPr>
      <w:r>
        <w:rPr>
          <w:rFonts w:ascii="Arial" w:eastAsia="Arial" w:hAnsi="Arial" w:cs="Arial"/>
          <w:sz w:val="24"/>
          <w:szCs w:val="24"/>
        </w:rPr>
        <w:t xml:space="preserve"> </w:t>
      </w:r>
    </w:p>
    <w:p w:rsidR="007D44AC" w:rsidRDefault="00DD0FA5">
      <w:pPr>
        <w:numPr>
          <w:ilvl w:val="0"/>
          <w:numId w:val="5"/>
        </w:numPr>
        <w:tabs>
          <w:tab w:val="left" w:pos="1134"/>
        </w:tabs>
        <w:spacing w:line="240" w:lineRule="auto"/>
        <w:ind w:left="820"/>
        <w:rPr>
          <w:sz w:val="24"/>
          <w:szCs w:val="24"/>
        </w:rPr>
      </w:pPr>
      <w:r>
        <w:rPr>
          <w:rFonts w:ascii="Arial" w:eastAsia="Arial" w:hAnsi="Arial" w:cs="Arial"/>
          <w:b/>
          <w:sz w:val="24"/>
          <w:szCs w:val="24"/>
        </w:rPr>
        <w:t>SCOPE OF THE REQUIREMENT</w:t>
      </w:r>
    </w:p>
    <w:p w:rsidR="007D44AC" w:rsidRDefault="00DD0FA5">
      <w:pPr>
        <w:numPr>
          <w:ilvl w:val="1"/>
          <w:numId w:val="5"/>
        </w:numPr>
        <w:tabs>
          <w:tab w:val="left" w:pos="1134"/>
        </w:tabs>
        <w:spacing w:line="240" w:lineRule="auto"/>
        <w:rPr>
          <w:sz w:val="24"/>
          <w:szCs w:val="24"/>
        </w:rPr>
      </w:pPr>
      <w:r>
        <w:rPr>
          <w:rFonts w:ascii="Arial" w:eastAsia="Arial" w:hAnsi="Arial" w:cs="Arial"/>
          <w:b/>
          <w:sz w:val="24"/>
          <w:szCs w:val="24"/>
        </w:rPr>
        <w:t>Lot 1 (International Trade and Disputes)</w:t>
      </w:r>
    </w:p>
    <w:p w:rsidR="007D44AC" w:rsidRDefault="00DD0FA5">
      <w:pPr>
        <w:numPr>
          <w:ilvl w:val="2"/>
          <w:numId w:val="5"/>
        </w:numPr>
        <w:tabs>
          <w:tab w:val="left" w:pos="1134"/>
        </w:tabs>
        <w:spacing w:line="240" w:lineRule="auto"/>
        <w:rPr>
          <w:sz w:val="24"/>
          <w:szCs w:val="24"/>
        </w:rPr>
      </w:pPr>
      <w:r>
        <w:rPr>
          <w:rFonts w:ascii="Arial" w:eastAsia="Arial" w:hAnsi="Arial" w:cs="Arial"/>
          <w:sz w:val="24"/>
          <w:szCs w:val="24"/>
        </w:rPr>
        <w:t xml:space="preserve">Lot 1 covers legal advice and services in relation to the mitigation and conduct of disputes under the World Trade Organisation (WTO) and trade agreement dispute settlement mechanisms, as well as compliance with and enforcement of international law relating to trade, including but not limited to the law of WTO and trade agreements.  </w:t>
      </w:r>
    </w:p>
    <w:p w:rsidR="007D44AC" w:rsidRDefault="00DD0FA5">
      <w:pPr>
        <w:numPr>
          <w:ilvl w:val="2"/>
          <w:numId w:val="5"/>
        </w:numPr>
        <w:tabs>
          <w:tab w:val="left" w:pos="1134"/>
        </w:tabs>
        <w:spacing w:line="240" w:lineRule="auto"/>
        <w:rPr>
          <w:sz w:val="24"/>
          <w:szCs w:val="24"/>
        </w:rPr>
      </w:pPr>
      <w:r>
        <w:rPr>
          <w:rFonts w:ascii="Arial" w:eastAsia="Arial" w:hAnsi="Arial" w:cs="Arial"/>
          <w:sz w:val="24"/>
          <w:szCs w:val="24"/>
        </w:rPr>
        <w:t xml:space="preserve">Suppliers must provide advice and services in relation to the areas detailed in the Mandatory Specialisms for Lot 1.  </w:t>
      </w:r>
    </w:p>
    <w:p w:rsidR="007D44AC" w:rsidRDefault="00DD0FA5">
      <w:pPr>
        <w:numPr>
          <w:ilvl w:val="1"/>
          <w:numId w:val="5"/>
        </w:numPr>
        <w:tabs>
          <w:tab w:val="left" w:pos="1134"/>
        </w:tabs>
        <w:spacing w:line="240" w:lineRule="auto"/>
        <w:rPr>
          <w:sz w:val="24"/>
          <w:szCs w:val="24"/>
        </w:rPr>
      </w:pPr>
      <w:r>
        <w:rPr>
          <w:rFonts w:ascii="Arial" w:eastAsia="Arial" w:hAnsi="Arial" w:cs="Arial"/>
          <w:b/>
          <w:sz w:val="24"/>
          <w:szCs w:val="24"/>
        </w:rPr>
        <w:t>Lot 2 (International Trade and Negotiations)</w:t>
      </w:r>
      <w:r>
        <w:rPr>
          <w:rFonts w:ascii="Arial" w:eastAsia="Arial" w:hAnsi="Arial" w:cs="Arial"/>
          <w:sz w:val="24"/>
          <w:szCs w:val="24"/>
        </w:rPr>
        <w:t xml:space="preserve"> </w:t>
      </w:r>
    </w:p>
    <w:p w:rsidR="007D44AC" w:rsidRDefault="00DD0FA5">
      <w:pPr>
        <w:numPr>
          <w:ilvl w:val="2"/>
          <w:numId w:val="5"/>
        </w:numPr>
        <w:tabs>
          <w:tab w:val="left" w:pos="1134"/>
        </w:tabs>
        <w:spacing w:line="240" w:lineRule="auto"/>
        <w:rPr>
          <w:sz w:val="24"/>
          <w:szCs w:val="24"/>
        </w:rPr>
      </w:pPr>
      <w:r>
        <w:rPr>
          <w:rFonts w:ascii="Arial" w:eastAsia="Arial" w:hAnsi="Arial" w:cs="Arial"/>
          <w:sz w:val="24"/>
          <w:szCs w:val="24"/>
        </w:rPr>
        <w:t>Lot 2 covers provision of legal advice and services in relation to the negotiation and implementation of trade agreements and trading relationships, and compliance with and enforcement of international law relating to trade. This includes the law of WTO and trade agreements.</w:t>
      </w:r>
    </w:p>
    <w:p w:rsidR="007D44AC" w:rsidRDefault="00DD0FA5">
      <w:pPr>
        <w:numPr>
          <w:ilvl w:val="2"/>
          <w:numId w:val="5"/>
        </w:numPr>
        <w:tabs>
          <w:tab w:val="left" w:pos="1134"/>
        </w:tabs>
        <w:spacing w:line="240" w:lineRule="auto"/>
        <w:rPr>
          <w:sz w:val="24"/>
          <w:szCs w:val="24"/>
        </w:rPr>
      </w:pPr>
      <w:r>
        <w:rPr>
          <w:rFonts w:ascii="Arial" w:eastAsia="Arial" w:hAnsi="Arial" w:cs="Arial"/>
          <w:sz w:val="24"/>
          <w:szCs w:val="24"/>
        </w:rPr>
        <w:t xml:space="preserve">Suppliers must provide advice and services in relation to the areas detailed in Mandatory Specialisms for Lot 2.  </w:t>
      </w:r>
    </w:p>
    <w:p w:rsidR="007D44AC" w:rsidRDefault="00DD0FA5">
      <w:pPr>
        <w:numPr>
          <w:ilvl w:val="0"/>
          <w:numId w:val="5"/>
        </w:numPr>
        <w:tabs>
          <w:tab w:val="left" w:pos="1134"/>
        </w:tabs>
        <w:spacing w:line="240" w:lineRule="auto"/>
        <w:rPr>
          <w:rFonts w:ascii="Arial" w:eastAsia="Arial" w:hAnsi="Arial" w:cs="Arial"/>
          <w:sz w:val="24"/>
          <w:szCs w:val="24"/>
        </w:rPr>
      </w:pPr>
      <w:r>
        <w:rPr>
          <w:rFonts w:ascii="Arial" w:eastAsia="Arial" w:hAnsi="Arial" w:cs="Arial"/>
          <w:b/>
          <w:sz w:val="24"/>
          <w:szCs w:val="24"/>
        </w:rPr>
        <w:t>Specialisms under the Framework</w:t>
      </w:r>
    </w:p>
    <w:p w:rsidR="007D44AC" w:rsidRDefault="00DD0FA5">
      <w:pPr>
        <w:numPr>
          <w:ilvl w:val="1"/>
          <w:numId w:val="5"/>
        </w:numPr>
        <w:tabs>
          <w:tab w:val="left" w:pos="1134"/>
        </w:tabs>
        <w:spacing w:line="240" w:lineRule="auto"/>
        <w:rPr>
          <w:sz w:val="24"/>
          <w:szCs w:val="24"/>
        </w:rPr>
      </w:pPr>
      <w:r>
        <w:rPr>
          <w:rFonts w:ascii="Arial" w:eastAsia="Arial" w:hAnsi="Arial" w:cs="Arial"/>
          <w:sz w:val="24"/>
          <w:szCs w:val="24"/>
        </w:rPr>
        <w:t xml:space="preserve">The Supplier must provide legal services in respect of all of the Mandatory Specialisms and services in respect of the Optional Specialisms that the Supplier has indicated it will provide (if qualified to do so). The Mandatory Specialisms listed in section 4 and 5 (Mandatory Specialisms) and the Optional Specialisms listed in section 9 (Optional Services) are high-level descriptions of types of legal services and areas of legal practice which the Supplier offers under this Framework Contract and which Buyers are entitled to Order. </w:t>
      </w:r>
    </w:p>
    <w:p w:rsidR="007D44AC" w:rsidRDefault="00DD0FA5">
      <w:pPr>
        <w:numPr>
          <w:ilvl w:val="1"/>
          <w:numId w:val="5"/>
        </w:numPr>
        <w:tabs>
          <w:tab w:val="left" w:pos="1134"/>
        </w:tabs>
        <w:spacing w:line="240" w:lineRule="auto"/>
        <w:rPr>
          <w:sz w:val="24"/>
          <w:szCs w:val="24"/>
        </w:rPr>
      </w:pPr>
      <w:r>
        <w:rPr>
          <w:rFonts w:ascii="Arial" w:eastAsia="Arial" w:hAnsi="Arial" w:cs="Arial"/>
          <w:sz w:val="24"/>
          <w:szCs w:val="24"/>
        </w:rPr>
        <w:lastRenderedPageBreak/>
        <w:t>The Supplier acknowledges and agrees that the descriptions of the types of legal services and areas of legal practice set out beneath the headings for each Service category are illustrative only and are not exhaustive. Buyers are entitled to seek advice from the Supplier in respect of any type of legal service or area of legal practice, provided that such advice falls within the scope of one of the Mandatory or Optional Specialisms set out at section 4 and 5 and/or section 9, and whether or not the type of legal service or area of legal practice sought is specifically described or listed beneath the relevant heading.</w:t>
      </w:r>
    </w:p>
    <w:p w:rsidR="007D44AC" w:rsidRDefault="00DD0FA5">
      <w:pPr>
        <w:numPr>
          <w:ilvl w:val="0"/>
          <w:numId w:val="5"/>
        </w:numPr>
        <w:tabs>
          <w:tab w:val="left" w:pos="1134"/>
        </w:tabs>
        <w:spacing w:line="240" w:lineRule="auto"/>
        <w:rPr>
          <w:sz w:val="24"/>
          <w:szCs w:val="24"/>
        </w:rPr>
      </w:pPr>
      <w:r>
        <w:rPr>
          <w:rFonts w:ascii="Arial" w:eastAsia="Arial" w:hAnsi="Arial" w:cs="Arial"/>
          <w:b/>
          <w:sz w:val="24"/>
          <w:szCs w:val="24"/>
        </w:rPr>
        <w:t>Mandatory Specialisms: Lot 1 International Trade and Disputes</w:t>
      </w:r>
    </w:p>
    <w:p w:rsidR="007D44AC" w:rsidRDefault="00DD0FA5">
      <w:pPr>
        <w:numPr>
          <w:ilvl w:val="1"/>
          <w:numId w:val="5"/>
        </w:numPr>
        <w:tabs>
          <w:tab w:val="left" w:pos="1134"/>
        </w:tabs>
        <w:spacing w:line="240" w:lineRule="auto"/>
        <w:rPr>
          <w:sz w:val="24"/>
          <w:szCs w:val="24"/>
        </w:rPr>
      </w:pPr>
      <w:r>
        <w:rPr>
          <w:rFonts w:ascii="Arial" w:eastAsia="Arial" w:hAnsi="Arial" w:cs="Arial"/>
          <w:sz w:val="24"/>
          <w:szCs w:val="24"/>
        </w:rPr>
        <w:t>Suppliers will be required to provide the Buyer with:</w:t>
      </w:r>
    </w:p>
    <w:p w:rsidR="007D44AC" w:rsidRDefault="00DD0FA5">
      <w:pPr>
        <w:numPr>
          <w:ilvl w:val="2"/>
          <w:numId w:val="5"/>
        </w:numPr>
        <w:tabs>
          <w:tab w:val="left" w:pos="1134"/>
        </w:tabs>
        <w:spacing w:line="240" w:lineRule="auto"/>
        <w:rPr>
          <w:sz w:val="24"/>
          <w:szCs w:val="24"/>
        </w:rPr>
      </w:pPr>
      <w:r>
        <w:rPr>
          <w:rFonts w:ascii="Arial" w:eastAsia="Arial" w:hAnsi="Arial" w:cs="Arial"/>
          <w:sz w:val="24"/>
          <w:szCs w:val="24"/>
        </w:rPr>
        <w:t xml:space="preserve">legal advice on and support for international trade disputes, including but not limited to: acting on behalf of government in offensive and/or defensive disputes. </w:t>
      </w:r>
    </w:p>
    <w:p w:rsidR="007D44AC" w:rsidRDefault="00DD0FA5">
      <w:pPr>
        <w:numPr>
          <w:ilvl w:val="2"/>
          <w:numId w:val="5"/>
        </w:numPr>
        <w:tabs>
          <w:tab w:val="left" w:pos="1134"/>
        </w:tabs>
        <w:spacing w:line="240" w:lineRule="auto"/>
        <w:rPr>
          <w:sz w:val="24"/>
          <w:szCs w:val="24"/>
        </w:rPr>
      </w:pPr>
      <w:r>
        <w:rPr>
          <w:rFonts w:ascii="Arial" w:eastAsia="Arial" w:hAnsi="Arial" w:cs="Arial"/>
          <w:sz w:val="24"/>
          <w:szCs w:val="24"/>
        </w:rPr>
        <w:t xml:space="preserve">legal advice on all stages of international trade disputes including but not limited to at </w:t>
      </w:r>
      <w:r w:rsidR="00AE1AD6">
        <w:rPr>
          <w:rFonts w:ascii="Arial" w:eastAsia="Arial" w:hAnsi="Arial" w:cs="Arial"/>
          <w:sz w:val="24"/>
          <w:szCs w:val="24"/>
        </w:rPr>
        <w:t>Framework</w:t>
      </w:r>
      <w:r>
        <w:rPr>
          <w:rFonts w:ascii="Arial" w:eastAsia="Arial" w:hAnsi="Arial" w:cs="Arial"/>
          <w:sz w:val="24"/>
          <w:szCs w:val="24"/>
        </w:rPr>
        <w:t xml:space="preserve"> and/or Appellate Body level at the WTO (for both offensive and/or defensive disputes).  </w:t>
      </w:r>
    </w:p>
    <w:p w:rsidR="007D44AC" w:rsidRDefault="00DD0FA5">
      <w:pPr>
        <w:numPr>
          <w:ilvl w:val="2"/>
          <w:numId w:val="5"/>
        </w:numPr>
        <w:tabs>
          <w:tab w:val="left" w:pos="1134"/>
        </w:tabs>
        <w:spacing w:line="240" w:lineRule="auto"/>
        <w:rPr>
          <w:sz w:val="24"/>
          <w:szCs w:val="24"/>
        </w:rPr>
      </w:pPr>
      <w:r>
        <w:rPr>
          <w:rFonts w:ascii="Arial" w:eastAsia="Arial" w:hAnsi="Arial" w:cs="Arial"/>
          <w:sz w:val="24"/>
          <w:szCs w:val="24"/>
        </w:rPr>
        <w:t>legal advice on the prevention of international trade disputes (e.g. checking new or existing policies or draft legislation for disputes risks). </w:t>
      </w:r>
    </w:p>
    <w:p w:rsidR="007D44AC" w:rsidRDefault="00DD0FA5">
      <w:pPr>
        <w:numPr>
          <w:ilvl w:val="2"/>
          <w:numId w:val="5"/>
        </w:numPr>
        <w:tabs>
          <w:tab w:val="left" w:pos="1134"/>
        </w:tabs>
        <w:spacing w:line="240" w:lineRule="auto"/>
        <w:rPr>
          <w:sz w:val="24"/>
          <w:szCs w:val="24"/>
        </w:rPr>
      </w:pPr>
      <w:r>
        <w:rPr>
          <w:rFonts w:ascii="Arial" w:eastAsia="Arial" w:hAnsi="Arial" w:cs="Arial"/>
          <w:sz w:val="24"/>
          <w:szCs w:val="24"/>
        </w:rPr>
        <w:t xml:space="preserve">legal advice on trade remedies. </w:t>
      </w:r>
    </w:p>
    <w:p w:rsidR="007D44AC" w:rsidRDefault="00DD0FA5">
      <w:pPr>
        <w:numPr>
          <w:ilvl w:val="2"/>
          <w:numId w:val="5"/>
        </w:numPr>
        <w:tabs>
          <w:tab w:val="left" w:pos="1134"/>
        </w:tabs>
        <w:spacing w:line="240" w:lineRule="auto"/>
        <w:rPr>
          <w:sz w:val="24"/>
          <w:szCs w:val="24"/>
        </w:rPr>
      </w:pPr>
      <w:r>
        <w:rPr>
          <w:rFonts w:ascii="Arial" w:eastAsia="Arial" w:hAnsi="Arial" w:cs="Arial"/>
          <w:sz w:val="24"/>
          <w:szCs w:val="24"/>
        </w:rPr>
        <w:t xml:space="preserve">advice on international law relating to trade including but not limited to compliance with the law of the WTO and of international trade agreements. </w:t>
      </w:r>
    </w:p>
    <w:p w:rsidR="007D44AC" w:rsidRDefault="00DD0FA5">
      <w:pPr>
        <w:numPr>
          <w:ilvl w:val="2"/>
          <w:numId w:val="5"/>
        </w:numPr>
        <w:tabs>
          <w:tab w:val="left" w:pos="1134"/>
        </w:tabs>
        <w:spacing w:line="240" w:lineRule="auto"/>
        <w:rPr>
          <w:sz w:val="24"/>
          <w:szCs w:val="24"/>
        </w:rPr>
      </w:pPr>
      <w:r>
        <w:rPr>
          <w:rFonts w:ascii="Arial" w:eastAsia="Arial" w:hAnsi="Arial" w:cs="Arial"/>
          <w:sz w:val="24"/>
          <w:szCs w:val="24"/>
        </w:rPr>
        <w:t>advice on the domestic law of different jurisdictions in the context of international trade and/or actual or potential disputes including via in-house, multiple offices or subcontracting services. </w:t>
      </w:r>
    </w:p>
    <w:p w:rsidR="007D44AC" w:rsidRDefault="00DD0FA5">
      <w:pPr>
        <w:numPr>
          <w:ilvl w:val="1"/>
          <w:numId w:val="5"/>
        </w:numPr>
        <w:tabs>
          <w:tab w:val="left" w:pos="1134"/>
        </w:tabs>
        <w:spacing w:line="240" w:lineRule="auto"/>
        <w:rPr>
          <w:sz w:val="24"/>
          <w:szCs w:val="24"/>
        </w:rPr>
      </w:pPr>
      <w:r>
        <w:rPr>
          <w:rFonts w:ascii="Arial" w:eastAsia="Arial" w:hAnsi="Arial" w:cs="Arial"/>
          <w:sz w:val="24"/>
          <w:szCs w:val="24"/>
        </w:rPr>
        <w:t xml:space="preserve">Firms will be required to conduct advocacy in WTO disputes, including but not limited to advocacy before the Appellate Body, on behalf of the Buyer and to demonstrate the ability to meet this requirement by the start of the Framework. </w:t>
      </w:r>
    </w:p>
    <w:p w:rsidR="007D44AC" w:rsidRDefault="00DD0FA5">
      <w:pPr>
        <w:numPr>
          <w:ilvl w:val="0"/>
          <w:numId w:val="5"/>
        </w:numPr>
        <w:tabs>
          <w:tab w:val="left" w:pos="1134"/>
        </w:tabs>
        <w:spacing w:line="240" w:lineRule="auto"/>
        <w:rPr>
          <w:sz w:val="24"/>
          <w:szCs w:val="24"/>
        </w:rPr>
      </w:pPr>
      <w:r>
        <w:rPr>
          <w:rFonts w:ascii="Arial" w:eastAsia="Arial" w:hAnsi="Arial" w:cs="Arial"/>
          <w:b/>
          <w:sz w:val="24"/>
          <w:szCs w:val="24"/>
        </w:rPr>
        <w:t>Mandatory Specialisms: Lot 2 International Trade and Negotiations</w:t>
      </w:r>
    </w:p>
    <w:p w:rsidR="007D44AC" w:rsidRDefault="00DD0FA5">
      <w:pPr>
        <w:numPr>
          <w:ilvl w:val="1"/>
          <w:numId w:val="5"/>
        </w:numPr>
        <w:tabs>
          <w:tab w:val="left" w:pos="1134"/>
        </w:tabs>
        <w:spacing w:line="240" w:lineRule="auto"/>
        <w:rPr>
          <w:sz w:val="24"/>
          <w:szCs w:val="24"/>
        </w:rPr>
      </w:pPr>
      <w:r>
        <w:rPr>
          <w:rFonts w:ascii="Arial" w:eastAsia="Arial" w:hAnsi="Arial" w:cs="Arial"/>
          <w:sz w:val="24"/>
          <w:szCs w:val="24"/>
        </w:rPr>
        <w:t>Suppliers will be required to provide the Buyer with:</w:t>
      </w:r>
      <w:r>
        <w:rPr>
          <w:rFonts w:ascii="Arial" w:eastAsia="Arial" w:hAnsi="Arial" w:cs="Arial"/>
          <w:b/>
          <w:sz w:val="24"/>
          <w:szCs w:val="24"/>
        </w:rPr>
        <w:t xml:space="preserve"> </w:t>
      </w:r>
    </w:p>
    <w:p w:rsidR="007D44AC" w:rsidRDefault="00DD0FA5">
      <w:pPr>
        <w:numPr>
          <w:ilvl w:val="2"/>
          <w:numId w:val="5"/>
        </w:numPr>
        <w:tabs>
          <w:tab w:val="left" w:pos="1134"/>
        </w:tabs>
        <w:spacing w:line="240" w:lineRule="auto"/>
        <w:rPr>
          <w:sz w:val="24"/>
          <w:szCs w:val="24"/>
        </w:rPr>
      </w:pPr>
      <w:r>
        <w:rPr>
          <w:rFonts w:ascii="Arial" w:eastAsia="Arial" w:hAnsi="Arial" w:cs="Arial"/>
          <w:sz w:val="24"/>
          <w:szCs w:val="24"/>
        </w:rPr>
        <w:t>legal advice in the context of trade negotiations, including but not limited to: F</w:t>
      </w:r>
      <w:r w:rsidR="00537960">
        <w:rPr>
          <w:rFonts w:ascii="Arial" w:eastAsia="Arial" w:hAnsi="Arial" w:cs="Arial"/>
          <w:sz w:val="24"/>
          <w:szCs w:val="24"/>
        </w:rPr>
        <w:t xml:space="preserve">ree </w:t>
      </w:r>
      <w:r>
        <w:rPr>
          <w:rFonts w:ascii="Arial" w:eastAsia="Arial" w:hAnsi="Arial" w:cs="Arial"/>
          <w:sz w:val="24"/>
          <w:szCs w:val="24"/>
        </w:rPr>
        <w:t>T</w:t>
      </w:r>
      <w:r w:rsidR="00537960">
        <w:rPr>
          <w:rFonts w:ascii="Arial" w:eastAsia="Arial" w:hAnsi="Arial" w:cs="Arial"/>
          <w:sz w:val="24"/>
          <w:szCs w:val="24"/>
        </w:rPr>
        <w:t xml:space="preserve">rade </w:t>
      </w:r>
      <w:r>
        <w:rPr>
          <w:rFonts w:ascii="Arial" w:eastAsia="Arial" w:hAnsi="Arial" w:cs="Arial"/>
          <w:sz w:val="24"/>
          <w:szCs w:val="24"/>
        </w:rPr>
        <w:t>A</w:t>
      </w:r>
      <w:r w:rsidR="00537960">
        <w:rPr>
          <w:rFonts w:ascii="Arial" w:eastAsia="Arial" w:hAnsi="Arial" w:cs="Arial"/>
          <w:sz w:val="24"/>
          <w:szCs w:val="24"/>
        </w:rPr>
        <w:t>greement</w:t>
      </w:r>
      <w:r>
        <w:rPr>
          <w:rFonts w:ascii="Arial" w:eastAsia="Arial" w:hAnsi="Arial" w:cs="Arial"/>
          <w:sz w:val="24"/>
          <w:szCs w:val="24"/>
        </w:rPr>
        <w:t>s</w:t>
      </w:r>
      <w:r w:rsidR="00537960">
        <w:rPr>
          <w:rFonts w:ascii="Arial" w:eastAsia="Arial" w:hAnsi="Arial" w:cs="Arial"/>
          <w:sz w:val="24"/>
          <w:szCs w:val="24"/>
        </w:rPr>
        <w:t xml:space="preserve"> (FTAs)</w:t>
      </w:r>
      <w:r>
        <w:rPr>
          <w:rFonts w:ascii="Arial" w:eastAsia="Arial" w:hAnsi="Arial" w:cs="Arial"/>
          <w:sz w:val="24"/>
          <w:szCs w:val="24"/>
        </w:rPr>
        <w:t xml:space="preserve">, multilateral negotiations, and negotiations in the WTO. </w:t>
      </w:r>
    </w:p>
    <w:p w:rsidR="007D44AC" w:rsidRDefault="00DD0FA5">
      <w:pPr>
        <w:numPr>
          <w:ilvl w:val="2"/>
          <w:numId w:val="5"/>
        </w:numPr>
        <w:tabs>
          <w:tab w:val="left" w:pos="1134"/>
        </w:tabs>
        <w:spacing w:line="240" w:lineRule="auto"/>
        <w:rPr>
          <w:sz w:val="24"/>
          <w:szCs w:val="24"/>
        </w:rPr>
      </w:pPr>
      <w:r>
        <w:rPr>
          <w:rFonts w:ascii="Arial" w:eastAsia="Arial" w:hAnsi="Arial" w:cs="Arial"/>
          <w:sz w:val="24"/>
          <w:szCs w:val="24"/>
        </w:rPr>
        <w:t xml:space="preserve">legal advice on the full range of chapters in an FTA. </w:t>
      </w:r>
    </w:p>
    <w:p w:rsidR="007D44AC" w:rsidRDefault="00DD0FA5">
      <w:pPr>
        <w:numPr>
          <w:ilvl w:val="2"/>
          <w:numId w:val="5"/>
        </w:numPr>
        <w:tabs>
          <w:tab w:val="left" w:pos="1134"/>
        </w:tabs>
        <w:spacing w:line="240" w:lineRule="auto"/>
        <w:rPr>
          <w:sz w:val="24"/>
          <w:szCs w:val="24"/>
        </w:rPr>
      </w:pPr>
      <w:r>
        <w:rPr>
          <w:rFonts w:ascii="Arial" w:eastAsia="Arial" w:hAnsi="Arial" w:cs="Arial"/>
          <w:sz w:val="24"/>
          <w:szCs w:val="24"/>
        </w:rPr>
        <w:t xml:space="preserve">legal advice in the context of the implementation of trade agreements, including but not limited to the WTO and FTAs. </w:t>
      </w:r>
    </w:p>
    <w:p w:rsidR="007D44AC" w:rsidRDefault="00DD0FA5">
      <w:pPr>
        <w:numPr>
          <w:ilvl w:val="2"/>
          <w:numId w:val="5"/>
        </w:numPr>
        <w:tabs>
          <w:tab w:val="left" w:pos="1134"/>
        </w:tabs>
        <w:spacing w:line="240" w:lineRule="auto"/>
        <w:rPr>
          <w:sz w:val="24"/>
          <w:szCs w:val="24"/>
        </w:rPr>
      </w:pPr>
      <w:r>
        <w:rPr>
          <w:rFonts w:ascii="Arial" w:eastAsia="Arial" w:hAnsi="Arial" w:cs="Arial"/>
          <w:sz w:val="24"/>
          <w:szCs w:val="24"/>
        </w:rPr>
        <w:lastRenderedPageBreak/>
        <w:t xml:space="preserve">advice on international law relating to trade including but not limited to compliance with the law of the WTO and of trade agreements. </w:t>
      </w:r>
    </w:p>
    <w:p w:rsidR="007D44AC" w:rsidRDefault="00DD0FA5">
      <w:pPr>
        <w:numPr>
          <w:ilvl w:val="2"/>
          <w:numId w:val="5"/>
        </w:numPr>
        <w:tabs>
          <w:tab w:val="left" w:pos="1134"/>
        </w:tabs>
        <w:spacing w:line="240" w:lineRule="auto"/>
        <w:rPr>
          <w:sz w:val="24"/>
          <w:szCs w:val="24"/>
        </w:rPr>
      </w:pPr>
      <w:r>
        <w:rPr>
          <w:rFonts w:ascii="Arial" w:eastAsia="Arial" w:hAnsi="Arial" w:cs="Arial"/>
          <w:sz w:val="24"/>
          <w:szCs w:val="24"/>
        </w:rPr>
        <w:t xml:space="preserve">advice on the domestic law of different jurisdictions in the context of international trade and/or negotiations including via in-house, multiple offices or subcontracting services. </w:t>
      </w:r>
    </w:p>
    <w:p w:rsidR="007D44AC" w:rsidRDefault="00DD0FA5">
      <w:pPr>
        <w:numPr>
          <w:ilvl w:val="0"/>
          <w:numId w:val="5"/>
        </w:numPr>
        <w:tabs>
          <w:tab w:val="left" w:pos="1134"/>
        </w:tabs>
        <w:spacing w:line="240" w:lineRule="auto"/>
        <w:rPr>
          <w:sz w:val="24"/>
          <w:szCs w:val="24"/>
        </w:rPr>
      </w:pPr>
      <w:r>
        <w:rPr>
          <w:rFonts w:ascii="Arial" w:eastAsia="Arial" w:hAnsi="Arial" w:cs="Arial"/>
          <w:b/>
          <w:sz w:val="24"/>
          <w:szCs w:val="24"/>
        </w:rPr>
        <w:t xml:space="preserve">Mandatory Framework </w:t>
      </w:r>
      <w:r w:rsidR="00537960">
        <w:rPr>
          <w:rFonts w:ascii="Arial" w:eastAsia="Arial" w:hAnsi="Arial" w:cs="Arial"/>
          <w:b/>
          <w:sz w:val="24"/>
          <w:szCs w:val="24"/>
        </w:rPr>
        <w:t>r</w:t>
      </w:r>
      <w:r>
        <w:rPr>
          <w:rFonts w:ascii="Arial" w:eastAsia="Arial" w:hAnsi="Arial" w:cs="Arial"/>
          <w:b/>
          <w:sz w:val="24"/>
          <w:szCs w:val="24"/>
        </w:rPr>
        <w:t xml:space="preserve">equirements </w:t>
      </w:r>
      <w:r w:rsidR="00537960">
        <w:rPr>
          <w:rFonts w:ascii="Arial" w:eastAsia="Arial" w:hAnsi="Arial" w:cs="Arial"/>
          <w:b/>
          <w:sz w:val="24"/>
          <w:szCs w:val="24"/>
        </w:rPr>
        <w:t>a</w:t>
      </w:r>
      <w:r>
        <w:rPr>
          <w:rFonts w:ascii="Arial" w:eastAsia="Arial" w:hAnsi="Arial" w:cs="Arial"/>
          <w:b/>
          <w:sz w:val="24"/>
          <w:szCs w:val="24"/>
        </w:rPr>
        <w:t xml:space="preserve">cross both Lots </w:t>
      </w:r>
    </w:p>
    <w:p w:rsidR="007D44AC" w:rsidRDefault="00DD0FA5">
      <w:pPr>
        <w:numPr>
          <w:ilvl w:val="1"/>
          <w:numId w:val="5"/>
        </w:numPr>
        <w:tabs>
          <w:tab w:val="left" w:pos="1134"/>
        </w:tabs>
        <w:spacing w:line="240" w:lineRule="auto"/>
        <w:rPr>
          <w:sz w:val="24"/>
          <w:szCs w:val="24"/>
        </w:rPr>
      </w:pPr>
      <w:r>
        <w:rPr>
          <w:rFonts w:ascii="Arial" w:eastAsia="Arial" w:hAnsi="Arial" w:cs="Arial"/>
          <w:sz w:val="24"/>
          <w:szCs w:val="24"/>
        </w:rPr>
        <w:t xml:space="preserve">This section sets out the Services that the Supplier is required to make available to Buyers as a condition of being awarded a Framework Contract.   </w:t>
      </w:r>
    </w:p>
    <w:p w:rsidR="007D44AC" w:rsidRDefault="00DD0FA5">
      <w:pPr>
        <w:numPr>
          <w:ilvl w:val="1"/>
          <w:numId w:val="5"/>
        </w:numPr>
        <w:tabs>
          <w:tab w:val="left" w:pos="1134"/>
        </w:tabs>
        <w:spacing w:line="240" w:lineRule="auto"/>
        <w:rPr>
          <w:sz w:val="24"/>
          <w:szCs w:val="24"/>
        </w:rPr>
      </w:pPr>
      <w:r>
        <w:rPr>
          <w:rFonts w:ascii="Arial" w:eastAsia="Arial" w:hAnsi="Arial" w:cs="Arial"/>
          <w:b/>
          <w:sz w:val="24"/>
          <w:szCs w:val="24"/>
        </w:rPr>
        <w:t xml:space="preserve">Supplier Personnel  </w:t>
      </w:r>
    </w:p>
    <w:p w:rsidR="007D44AC" w:rsidRDefault="00DD0FA5">
      <w:pPr>
        <w:numPr>
          <w:ilvl w:val="2"/>
          <w:numId w:val="5"/>
        </w:numPr>
        <w:tabs>
          <w:tab w:val="left" w:pos="1134"/>
        </w:tabs>
        <w:spacing w:line="240" w:lineRule="auto"/>
        <w:rPr>
          <w:sz w:val="24"/>
          <w:szCs w:val="24"/>
        </w:rPr>
      </w:pPr>
      <w:r>
        <w:rPr>
          <w:rFonts w:ascii="Arial" w:eastAsia="Arial" w:hAnsi="Arial" w:cs="Arial"/>
          <w:sz w:val="24"/>
          <w:szCs w:val="24"/>
        </w:rPr>
        <w:t xml:space="preserve">In relation to the Services the Supplier must ensure that, where applicable, Supplier Personnel hold a current </w:t>
      </w:r>
      <w:hyperlink r:id="rId11">
        <w:r>
          <w:rPr>
            <w:rFonts w:ascii="Arial" w:eastAsia="Arial" w:hAnsi="Arial" w:cs="Arial"/>
            <w:color w:val="1155CC"/>
            <w:sz w:val="24"/>
            <w:szCs w:val="24"/>
            <w:u w:val="single"/>
          </w:rPr>
          <w:t>Prac</w:t>
        </w:r>
        <w:r>
          <w:rPr>
            <w:rFonts w:ascii="Arial" w:eastAsia="Arial" w:hAnsi="Arial" w:cs="Arial"/>
            <w:color w:val="1155CC"/>
            <w:sz w:val="24"/>
            <w:szCs w:val="24"/>
            <w:u w:val="single"/>
          </w:rPr>
          <w:t>t</w:t>
        </w:r>
        <w:r>
          <w:rPr>
            <w:rFonts w:ascii="Arial" w:eastAsia="Arial" w:hAnsi="Arial" w:cs="Arial"/>
            <w:color w:val="1155CC"/>
            <w:sz w:val="24"/>
            <w:szCs w:val="24"/>
            <w:u w:val="single"/>
          </w:rPr>
          <w:t xml:space="preserve">icing </w:t>
        </w:r>
      </w:hyperlink>
      <w:hyperlink r:id="rId12">
        <w:r>
          <w:rPr>
            <w:rFonts w:ascii="Arial" w:eastAsia="Arial" w:hAnsi="Arial" w:cs="Arial"/>
            <w:color w:val="1155CC"/>
            <w:sz w:val="24"/>
            <w:szCs w:val="24"/>
            <w:u w:val="single"/>
          </w:rPr>
          <w:t>Certificate</w:t>
        </w:r>
      </w:hyperlink>
      <w:r>
        <w:rPr>
          <w:rFonts w:ascii="Arial" w:eastAsia="Arial" w:hAnsi="Arial" w:cs="Arial"/>
          <w:sz w:val="24"/>
          <w:szCs w:val="24"/>
        </w:rPr>
        <w:t xml:space="preserve"> or are otherwise registered in compliance with the Solicitors Regulation Authority (SRA) Handbook, or equivalent in the Supplier’s jurisdiction as amended from time to time. </w:t>
      </w:r>
    </w:p>
    <w:p w:rsidR="007D44AC" w:rsidRDefault="00DD0FA5">
      <w:pPr>
        <w:numPr>
          <w:ilvl w:val="2"/>
          <w:numId w:val="5"/>
        </w:numPr>
        <w:tabs>
          <w:tab w:val="left" w:pos="1134"/>
        </w:tabs>
        <w:spacing w:line="240" w:lineRule="auto"/>
        <w:rPr>
          <w:sz w:val="24"/>
          <w:szCs w:val="24"/>
        </w:rPr>
      </w:pPr>
      <w:r>
        <w:rPr>
          <w:rFonts w:ascii="Arial" w:eastAsia="Arial" w:hAnsi="Arial" w:cs="Arial"/>
          <w:sz w:val="24"/>
          <w:szCs w:val="24"/>
        </w:rPr>
        <w:t xml:space="preserve">The Supplier must ensure that all Supplier Personnel involved in the delivery of Legal Services under the Call-Off Contract act in a responsible and professional manner and possess the qualifications, experience and competence appropriate to the tasks for which they are employed, including in relation to any legal specialism or areas of legal practice relevant to performing a Call-Off Contract. </w:t>
      </w:r>
    </w:p>
    <w:p w:rsidR="007D44AC" w:rsidRDefault="00DD0FA5">
      <w:pPr>
        <w:numPr>
          <w:ilvl w:val="2"/>
          <w:numId w:val="5"/>
        </w:numPr>
        <w:tabs>
          <w:tab w:val="left" w:pos="1134"/>
        </w:tabs>
        <w:spacing w:line="240" w:lineRule="auto"/>
        <w:rPr>
          <w:sz w:val="24"/>
          <w:szCs w:val="24"/>
        </w:rPr>
      </w:pPr>
      <w:r>
        <w:rPr>
          <w:rFonts w:ascii="Arial" w:eastAsia="Arial" w:hAnsi="Arial" w:cs="Arial"/>
          <w:sz w:val="24"/>
          <w:szCs w:val="24"/>
        </w:rPr>
        <w:t xml:space="preserve">The Supplier must make available Supplier Personnel to Buyers, who will be categorised in the following grades: </w:t>
      </w:r>
    </w:p>
    <w:tbl>
      <w:tblPr>
        <w:tblStyle w:val="a"/>
        <w:tblW w:w="8475" w:type="dxa"/>
        <w:tblInd w:w="630"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600" w:firstRow="0" w:lastRow="0" w:firstColumn="0" w:lastColumn="0" w:noHBand="1" w:noVBand="1"/>
      </w:tblPr>
      <w:tblGrid>
        <w:gridCol w:w="780"/>
        <w:gridCol w:w="1170"/>
        <w:gridCol w:w="1125"/>
        <w:gridCol w:w="5400"/>
      </w:tblGrid>
      <w:tr w:rsidR="007D44AC" w:rsidTr="00537960">
        <w:trPr>
          <w:trHeight w:val="690"/>
        </w:trPr>
        <w:tc>
          <w:tcPr>
            <w:tcW w:w="780" w:type="dxa"/>
            <w:tcBorders>
              <w:top w:val="single" w:sz="6" w:space="0" w:color="000000"/>
              <w:left w:val="single" w:sz="6" w:space="0" w:color="000000"/>
              <w:bottom w:val="single" w:sz="6" w:space="0" w:color="000000"/>
              <w:right w:val="single" w:sz="6" w:space="0" w:color="000000"/>
            </w:tcBorders>
            <w:shd w:val="clear" w:color="auto" w:fill="DBE5F1" w:themeFill="accent1" w:themeFillTint="33"/>
            <w:tcMar>
              <w:top w:w="0" w:type="dxa"/>
              <w:left w:w="0" w:type="dxa"/>
              <w:bottom w:w="0" w:type="dxa"/>
              <w:right w:w="0" w:type="dxa"/>
            </w:tcMar>
          </w:tcPr>
          <w:p w:rsidR="007D44AC" w:rsidRDefault="00DD0FA5">
            <w:pPr>
              <w:tabs>
                <w:tab w:val="left" w:pos="1134"/>
              </w:tabs>
              <w:spacing w:after="0" w:line="240" w:lineRule="auto"/>
              <w:jc w:val="center"/>
              <w:rPr>
                <w:rFonts w:ascii="Arial" w:eastAsia="Arial" w:hAnsi="Arial" w:cs="Arial"/>
                <w:b/>
                <w:sz w:val="24"/>
                <w:szCs w:val="24"/>
              </w:rPr>
            </w:pPr>
            <w:r>
              <w:rPr>
                <w:rFonts w:ascii="Arial" w:eastAsia="Arial" w:hAnsi="Arial" w:cs="Arial"/>
                <w:b/>
                <w:sz w:val="24"/>
                <w:szCs w:val="24"/>
              </w:rPr>
              <w:t>Grade Band</w:t>
            </w:r>
          </w:p>
        </w:tc>
        <w:tc>
          <w:tcPr>
            <w:tcW w:w="1170" w:type="dxa"/>
            <w:tcBorders>
              <w:top w:val="single" w:sz="6" w:space="0" w:color="000000"/>
              <w:left w:val="single" w:sz="6" w:space="0" w:color="000000"/>
              <w:bottom w:val="single" w:sz="6" w:space="0" w:color="000000"/>
              <w:right w:val="single" w:sz="6" w:space="0" w:color="000000"/>
            </w:tcBorders>
            <w:shd w:val="clear" w:color="auto" w:fill="DBE5F1" w:themeFill="accent1" w:themeFillTint="33"/>
            <w:tcMar>
              <w:top w:w="0" w:type="dxa"/>
              <w:left w:w="0" w:type="dxa"/>
              <w:bottom w:w="0" w:type="dxa"/>
              <w:right w:w="0" w:type="dxa"/>
            </w:tcMar>
          </w:tcPr>
          <w:p w:rsidR="007D44AC" w:rsidRDefault="00DD0FA5">
            <w:pPr>
              <w:tabs>
                <w:tab w:val="left" w:pos="1134"/>
              </w:tabs>
              <w:spacing w:after="0" w:line="240" w:lineRule="auto"/>
              <w:jc w:val="center"/>
              <w:rPr>
                <w:rFonts w:ascii="Arial" w:eastAsia="Arial" w:hAnsi="Arial" w:cs="Arial"/>
                <w:b/>
                <w:sz w:val="24"/>
                <w:szCs w:val="24"/>
              </w:rPr>
            </w:pPr>
            <w:r>
              <w:rPr>
                <w:rFonts w:ascii="Arial" w:eastAsia="Arial" w:hAnsi="Arial" w:cs="Arial"/>
                <w:b/>
                <w:sz w:val="24"/>
                <w:szCs w:val="24"/>
              </w:rPr>
              <w:t>Indicative Years’ PQE</w:t>
            </w:r>
          </w:p>
        </w:tc>
        <w:tc>
          <w:tcPr>
            <w:tcW w:w="1125" w:type="dxa"/>
            <w:tcBorders>
              <w:top w:val="single" w:sz="6" w:space="0" w:color="000000"/>
              <w:left w:val="nil"/>
              <w:bottom w:val="single" w:sz="6" w:space="0" w:color="000000"/>
              <w:right w:val="single" w:sz="6" w:space="0" w:color="000000"/>
            </w:tcBorders>
            <w:shd w:val="clear" w:color="auto" w:fill="DBE5F1" w:themeFill="accent1" w:themeFillTint="33"/>
            <w:tcMar>
              <w:top w:w="0" w:type="dxa"/>
              <w:left w:w="0" w:type="dxa"/>
              <w:bottom w:w="0" w:type="dxa"/>
              <w:right w:w="0" w:type="dxa"/>
            </w:tcMar>
          </w:tcPr>
          <w:p w:rsidR="007D44AC" w:rsidRDefault="00DD0FA5">
            <w:pPr>
              <w:tabs>
                <w:tab w:val="left" w:pos="1134"/>
              </w:tabs>
              <w:spacing w:after="0" w:line="240" w:lineRule="auto"/>
              <w:jc w:val="center"/>
              <w:rPr>
                <w:rFonts w:ascii="Arial" w:eastAsia="Arial" w:hAnsi="Arial" w:cs="Arial"/>
                <w:b/>
                <w:sz w:val="24"/>
                <w:szCs w:val="24"/>
              </w:rPr>
            </w:pPr>
            <w:r>
              <w:rPr>
                <w:rFonts w:ascii="Arial" w:eastAsia="Arial" w:hAnsi="Arial" w:cs="Arial"/>
                <w:b/>
                <w:sz w:val="24"/>
                <w:szCs w:val="24"/>
              </w:rPr>
              <w:t xml:space="preserve">Positions which typically fall within grade band </w:t>
            </w:r>
          </w:p>
        </w:tc>
        <w:tc>
          <w:tcPr>
            <w:tcW w:w="5400" w:type="dxa"/>
            <w:tcBorders>
              <w:top w:val="single" w:sz="6" w:space="0" w:color="000000"/>
              <w:left w:val="nil"/>
              <w:bottom w:val="single" w:sz="6" w:space="0" w:color="000000"/>
              <w:right w:val="single" w:sz="6" w:space="0" w:color="000000"/>
            </w:tcBorders>
            <w:shd w:val="clear" w:color="auto" w:fill="DBE5F1" w:themeFill="accent1" w:themeFillTint="33"/>
            <w:tcMar>
              <w:top w:w="0" w:type="dxa"/>
              <w:left w:w="0" w:type="dxa"/>
              <w:bottom w:w="0" w:type="dxa"/>
              <w:right w:w="0" w:type="dxa"/>
            </w:tcMar>
          </w:tcPr>
          <w:p w:rsidR="007D44AC" w:rsidRDefault="00DD0FA5">
            <w:pPr>
              <w:tabs>
                <w:tab w:val="left" w:pos="1134"/>
              </w:tabs>
              <w:spacing w:after="0" w:line="240" w:lineRule="auto"/>
              <w:jc w:val="center"/>
              <w:rPr>
                <w:rFonts w:ascii="Arial" w:eastAsia="Arial" w:hAnsi="Arial" w:cs="Arial"/>
                <w:b/>
                <w:sz w:val="24"/>
                <w:szCs w:val="24"/>
              </w:rPr>
            </w:pPr>
            <w:r>
              <w:rPr>
                <w:rFonts w:ascii="Arial" w:eastAsia="Arial" w:hAnsi="Arial" w:cs="Arial"/>
                <w:b/>
                <w:sz w:val="24"/>
                <w:szCs w:val="24"/>
              </w:rPr>
              <w:t xml:space="preserve">Grade Description </w:t>
            </w:r>
          </w:p>
        </w:tc>
      </w:tr>
      <w:tr w:rsidR="007D44AC">
        <w:trPr>
          <w:trHeight w:val="1500"/>
        </w:trPr>
        <w:tc>
          <w:tcPr>
            <w:tcW w:w="780" w:type="dxa"/>
            <w:tcBorders>
              <w:top w:val="nil"/>
              <w:left w:val="single" w:sz="6" w:space="0" w:color="000000"/>
              <w:bottom w:val="single" w:sz="6" w:space="0" w:color="000000"/>
              <w:right w:val="single" w:sz="6" w:space="0" w:color="000000"/>
            </w:tcBorders>
            <w:tcMar>
              <w:top w:w="0" w:type="dxa"/>
              <w:left w:w="0" w:type="dxa"/>
              <w:bottom w:w="0" w:type="dxa"/>
              <w:right w:w="0" w:type="dxa"/>
            </w:tcMar>
          </w:tcPr>
          <w:p w:rsidR="007D44AC" w:rsidRDefault="00DD0FA5">
            <w:pPr>
              <w:tabs>
                <w:tab w:val="left" w:pos="1134"/>
              </w:tabs>
              <w:spacing w:after="0" w:line="240" w:lineRule="auto"/>
              <w:jc w:val="center"/>
              <w:rPr>
                <w:rFonts w:ascii="Arial" w:eastAsia="Arial" w:hAnsi="Arial" w:cs="Arial"/>
                <w:sz w:val="24"/>
                <w:szCs w:val="24"/>
              </w:rPr>
            </w:pPr>
            <w:r>
              <w:rPr>
                <w:rFonts w:ascii="Arial" w:eastAsia="Arial" w:hAnsi="Arial" w:cs="Arial"/>
                <w:sz w:val="24"/>
                <w:szCs w:val="24"/>
              </w:rPr>
              <w:t xml:space="preserve">1 </w:t>
            </w:r>
          </w:p>
        </w:tc>
        <w:tc>
          <w:tcPr>
            <w:tcW w:w="1170" w:type="dxa"/>
            <w:tcBorders>
              <w:top w:val="nil"/>
              <w:left w:val="single" w:sz="6" w:space="0" w:color="000000"/>
              <w:bottom w:val="single" w:sz="6" w:space="0" w:color="000000"/>
              <w:right w:val="single" w:sz="6" w:space="0" w:color="000000"/>
            </w:tcBorders>
            <w:tcMar>
              <w:top w:w="0" w:type="dxa"/>
              <w:left w:w="0" w:type="dxa"/>
              <w:bottom w:w="0" w:type="dxa"/>
              <w:right w:w="0" w:type="dxa"/>
            </w:tcMar>
          </w:tcPr>
          <w:p w:rsidR="007D44AC" w:rsidRDefault="00DD0FA5">
            <w:pPr>
              <w:tabs>
                <w:tab w:val="left" w:pos="1134"/>
              </w:tabs>
              <w:spacing w:after="0" w:line="240" w:lineRule="auto"/>
              <w:jc w:val="center"/>
              <w:rPr>
                <w:rFonts w:ascii="Arial" w:eastAsia="Arial" w:hAnsi="Arial" w:cs="Arial"/>
                <w:sz w:val="24"/>
                <w:szCs w:val="24"/>
              </w:rPr>
            </w:pPr>
            <w:r>
              <w:rPr>
                <w:rFonts w:ascii="Arial" w:eastAsia="Arial" w:hAnsi="Arial" w:cs="Arial"/>
                <w:sz w:val="24"/>
                <w:szCs w:val="24"/>
              </w:rPr>
              <w:t>20+</w:t>
            </w:r>
          </w:p>
        </w:tc>
        <w:tc>
          <w:tcPr>
            <w:tcW w:w="1125" w:type="dxa"/>
            <w:tcBorders>
              <w:top w:val="nil"/>
              <w:left w:val="nil"/>
              <w:bottom w:val="single" w:sz="6" w:space="0" w:color="000000"/>
              <w:right w:val="single" w:sz="6" w:space="0" w:color="000000"/>
            </w:tcBorders>
            <w:tcMar>
              <w:top w:w="0" w:type="dxa"/>
              <w:left w:w="0" w:type="dxa"/>
              <w:bottom w:w="0" w:type="dxa"/>
              <w:right w:w="0" w:type="dxa"/>
            </w:tcMar>
          </w:tcPr>
          <w:p w:rsidR="007D44AC" w:rsidRDefault="00DD0FA5">
            <w:pPr>
              <w:tabs>
                <w:tab w:val="left" w:pos="1134"/>
              </w:tabs>
              <w:spacing w:after="0" w:line="240" w:lineRule="auto"/>
              <w:jc w:val="center"/>
              <w:rPr>
                <w:rFonts w:ascii="Arial" w:eastAsia="Arial" w:hAnsi="Arial" w:cs="Arial"/>
                <w:sz w:val="24"/>
                <w:szCs w:val="24"/>
              </w:rPr>
            </w:pPr>
            <w:r>
              <w:rPr>
                <w:rFonts w:ascii="Arial" w:eastAsia="Arial" w:hAnsi="Arial" w:cs="Arial"/>
                <w:sz w:val="24"/>
                <w:szCs w:val="24"/>
              </w:rPr>
              <w:t xml:space="preserve">Senior Counsel, Senior Partner </w:t>
            </w:r>
          </w:p>
        </w:tc>
        <w:tc>
          <w:tcPr>
            <w:tcW w:w="5400" w:type="dxa"/>
            <w:tcBorders>
              <w:top w:val="nil"/>
              <w:left w:val="nil"/>
              <w:bottom w:val="single" w:sz="6" w:space="0" w:color="000000"/>
              <w:right w:val="single" w:sz="6" w:space="0" w:color="000000"/>
            </w:tcBorders>
            <w:tcMar>
              <w:top w:w="0" w:type="dxa"/>
              <w:left w:w="0" w:type="dxa"/>
              <w:bottom w:w="0" w:type="dxa"/>
              <w:right w:w="0" w:type="dxa"/>
            </w:tcMar>
          </w:tcPr>
          <w:p w:rsidR="007D44AC" w:rsidRDefault="00DD0FA5">
            <w:pPr>
              <w:numPr>
                <w:ilvl w:val="0"/>
                <w:numId w:val="10"/>
              </w:numPr>
              <w:tabs>
                <w:tab w:val="left" w:pos="1134"/>
              </w:tabs>
              <w:spacing w:after="0" w:line="240" w:lineRule="auto"/>
              <w:rPr>
                <w:rFonts w:ascii="Arial" w:eastAsia="Arial" w:hAnsi="Arial" w:cs="Arial"/>
                <w:sz w:val="24"/>
                <w:szCs w:val="24"/>
              </w:rPr>
            </w:pPr>
            <w:r>
              <w:rPr>
                <w:rFonts w:ascii="Arial" w:eastAsia="Arial" w:hAnsi="Arial" w:cs="Arial"/>
                <w:sz w:val="24"/>
                <w:szCs w:val="24"/>
              </w:rPr>
              <w:t>Typically expected to have 20+ years’ PQE</w:t>
            </w:r>
          </w:p>
          <w:p w:rsidR="007D44AC" w:rsidRDefault="00DD0FA5">
            <w:pPr>
              <w:numPr>
                <w:ilvl w:val="0"/>
                <w:numId w:val="10"/>
              </w:numPr>
              <w:tabs>
                <w:tab w:val="left" w:pos="1134"/>
              </w:tabs>
              <w:spacing w:after="0" w:line="240" w:lineRule="auto"/>
              <w:rPr>
                <w:rFonts w:ascii="Arial" w:eastAsia="Arial" w:hAnsi="Arial" w:cs="Arial"/>
                <w:sz w:val="24"/>
                <w:szCs w:val="24"/>
              </w:rPr>
            </w:pPr>
            <w:r>
              <w:rPr>
                <w:rFonts w:ascii="Arial" w:eastAsia="Arial" w:hAnsi="Arial" w:cs="Arial"/>
                <w:sz w:val="24"/>
                <w:szCs w:val="24"/>
              </w:rPr>
              <w:t>Non-practising legal experience in international trade can also be considered, for example, in academia or at the WTO</w:t>
            </w:r>
          </w:p>
          <w:p w:rsidR="007D44AC" w:rsidRDefault="00DD0FA5">
            <w:pPr>
              <w:numPr>
                <w:ilvl w:val="0"/>
                <w:numId w:val="10"/>
              </w:numPr>
              <w:tabs>
                <w:tab w:val="left" w:pos="1134"/>
              </w:tabs>
              <w:spacing w:after="0" w:line="240" w:lineRule="auto"/>
              <w:rPr>
                <w:rFonts w:ascii="Arial" w:eastAsia="Arial" w:hAnsi="Arial" w:cs="Arial"/>
                <w:sz w:val="24"/>
                <w:szCs w:val="24"/>
              </w:rPr>
            </w:pPr>
            <w:r>
              <w:rPr>
                <w:rFonts w:ascii="Arial" w:eastAsia="Arial" w:hAnsi="Arial" w:cs="Arial"/>
                <w:sz w:val="24"/>
                <w:szCs w:val="24"/>
              </w:rPr>
              <w:t>Considered expert in the relevant field</w:t>
            </w:r>
          </w:p>
          <w:p w:rsidR="007D44AC" w:rsidRDefault="00DD0FA5">
            <w:pPr>
              <w:numPr>
                <w:ilvl w:val="0"/>
                <w:numId w:val="10"/>
              </w:numPr>
              <w:tabs>
                <w:tab w:val="left" w:pos="1134"/>
              </w:tabs>
              <w:spacing w:line="240" w:lineRule="auto"/>
              <w:rPr>
                <w:rFonts w:ascii="Arial" w:eastAsia="Arial" w:hAnsi="Arial" w:cs="Arial"/>
                <w:sz w:val="24"/>
                <w:szCs w:val="24"/>
              </w:rPr>
            </w:pPr>
            <w:r>
              <w:rPr>
                <w:rFonts w:ascii="Arial" w:eastAsia="Arial" w:hAnsi="Arial" w:cs="Arial"/>
                <w:sz w:val="24"/>
                <w:szCs w:val="24"/>
              </w:rPr>
              <w:t>May have similar responsibilities to Grade 2 personnel</w:t>
            </w:r>
          </w:p>
        </w:tc>
      </w:tr>
      <w:tr w:rsidR="007D44AC">
        <w:trPr>
          <w:trHeight w:val="2715"/>
        </w:trPr>
        <w:tc>
          <w:tcPr>
            <w:tcW w:w="780" w:type="dxa"/>
            <w:tcBorders>
              <w:top w:val="nil"/>
              <w:left w:val="single" w:sz="6" w:space="0" w:color="000000"/>
              <w:bottom w:val="single" w:sz="6" w:space="0" w:color="000000"/>
              <w:right w:val="single" w:sz="6" w:space="0" w:color="000000"/>
            </w:tcBorders>
            <w:tcMar>
              <w:top w:w="0" w:type="dxa"/>
              <w:left w:w="0" w:type="dxa"/>
              <w:bottom w:w="0" w:type="dxa"/>
              <w:right w:w="0" w:type="dxa"/>
            </w:tcMar>
          </w:tcPr>
          <w:p w:rsidR="007D44AC" w:rsidRDefault="00DD0FA5">
            <w:pPr>
              <w:tabs>
                <w:tab w:val="left" w:pos="1134"/>
              </w:tabs>
              <w:spacing w:after="0" w:line="240" w:lineRule="auto"/>
              <w:jc w:val="center"/>
              <w:rPr>
                <w:rFonts w:ascii="Arial" w:eastAsia="Arial" w:hAnsi="Arial" w:cs="Arial"/>
                <w:sz w:val="24"/>
                <w:szCs w:val="24"/>
              </w:rPr>
            </w:pPr>
            <w:r>
              <w:rPr>
                <w:rFonts w:ascii="Arial" w:eastAsia="Arial" w:hAnsi="Arial" w:cs="Arial"/>
                <w:sz w:val="24"/>
                <w:szCs w:val="24"/>
              </w:rPr>
              <w:lastRenderedPageBreak/>
              <w:t xml:space="preserve">2 </w:t>
            </w:r>
          </w:p>
        </w:tc>
        <w:tc>
          <w:tcPr>
            <w:tcW w:w="1170" w:type="dxa"/>
            <w:tcBorders>
              <w:top w:val="nil"/>
              <w:left w:val="single" w:sz="6" w:space="0" w:color="000000"/>
              <w:bottom w:val="single" w:sz="6" w:space="0" w:color="000000"/>
              <w:right w:val="single" w:sz="6" w:space="0" w:color="000000"/>
            </w:tcBorders>
            <w:tcMar>
              <w:top w:w="0" w:type="dxa"/>
              <w:left w:w="0" w:type="dxa"/>
              <w:bottom w:w="0" w:type="dxa"/>
              <w:right w:w="0" w:type="dxa"/>
            </w:tcMar>
          </w:tcPr>
          <w:p w:rsidR="007D44AC" w:rsidRDefault="00DD0FA5">
            <w:pPr>
              <w:tabs>
                <w:tab w:val="left" w:pos="1134"/>
              </w:tabs>
              <w:spacing w:after="0" w:line="240" w:lineRule="auto"/>
              <w:jc w:val="center"/>
              <w:rPr>
                <w:rFonts w:ascii="Arial" w:eastAsia="Arial" w:hAnsi="Arial" w:cs="Arial"/>
                <w:sz w:val="24"/>
                <w:szCs w:val="24"/>
              </w:rPr>
            </w:pPr>
            <w:r>
              <w:rPr>
                <w:rFonts w:ascii="Arial" w:eastAsia="Arial" w:hAnsi="Arial" w:cs="Arial"/>
                <w:sz w:val="24"/>
                <w:szCs w:val="24"/>
              </w:rPr>
              <w:t>10-20</w:t>
            </w:r>
          </w:p>
        </w:tc>
        <w:tc>
          <w:tcPr>
            <w:tcW w:w="1125" w:type="dxa"/>
            <w:tcBorders>
              <w:top w:val="nil"/>
              <w:left w:val="nil"/>
              <w:bottom w:val="single" w:sz="6" w:space="0" w:color="000000"/>
              <w:right w:val="single" w:sz="6" w:space="0" w:color="000000"/>
            </w:tcBorders>
            <w:tcMar>
              <w:top w:w="0" w:type="dxa"/>
              <w:left w:w="0" w:type="dxa"/>
              <w:bottom w:w="0" w:type="dxa"/>
              <w:right w:w="0" w:type="dxa"/>
            </w:tcMar>
          </w:tcPr>
          <w:p w:rsidR="007D44AC" w:rsidRDefault="00DD0FA5">
            <w:pPr>
              <w:tabs>
                <w:tab w:val="left" w:pos="1134"/>
              </w:tabs>
              <w:spacing w:after="0" w:line="240" w:lineRule="auto"/>
              <w:jc w:val="center"/>
              <w:rPr>
                <w:rFonts w:ascii="Arial" w:eastAsia="Arial" w:hAnsi="Arial" w:cs="Arial"/>
                <w:sz w:val="24"/>
                <w:szCs w:val="24"/>
              </w:rPr>
            </w:pPr>
            <w:r>
              <w:rPr>
                <w:rFonts w:ascii="Arial" w:eastAsia="Arial" w:hAnsi="Arial" w:cs="Arial"/>
                <w:sz w:val="24"/>
                <w:szCs w:val="24"/>
              </w:rPr>
              <w:t xml:space="preserve">Partner, Counsel, Legal Director </w:t>
            </w:r>
          </w:p>
        </w:tc>
        <w:tc>
          <w:tcPr>
            <w:tcW w:w="5400" w:type="dxa"/>
            <w:tcBorders>
              <w:top w:val="nil"/>
              <w:left w:val="nil"/>
              <w:bottom w:val="single" w:sz="6" w:space="0" w:color="000000"/>
              <w:right w:val="single" w:sz="6" w:space="0" w:color="000000"/>
            </w:tcBorders>
            <w:tcMar>
              <w:top w:w="0" w:type="dxa"/>
              <w:left w:w="0" w:type="dxa"/>
              <w:bottom w:w="0" w:type="dxa"/>
              <w:right w:w="0" w:type="dxa"/>
            </w:tcMar>
          </w:tcPr>
          <w:p w:rsidR="007D44AC" w:rsidRDefault="00DD0FA5">
            <w:pPr>
              <w:numPr>
                <w:ilvl w:val="0"/>
                <w:numId w:val="6"/>
              </w:numPr>
              <w:tabs>
                <w:tab w:val="left" w:pos="1134"/>
              </w:tabs>
              <w:spacing w:after="0" w:line="240" w:lineRule="auto"/>
              <w:rPr>
                <w:rFonts w:ascii="Arial" w:eastAsia="Arial" w:hAnsi="Arial" w:cs="Arial"/>
                <w:sz w:val="24"/>
                <w:szCs w:val="24"/>
              </w:rPr>
            </w:pPr>
            <w:r>
              <w:rPr>
                <w:rFonts w:ascii="Arial" w:eastAsia="Arial" w:hAnsi="Arial" w:cs="Arial"/>
                <w:sz w:val="24"/>
                <w:szCs w:val="24"/>
              </w:rPr>
              <w:t xml:space="preserve">Typically expected to have 10-20 years’ PQE </w:t>
            </w:r>
          </w:p>
          <w:p w:rsidR="007D44AC" w:rsidRDefault="00DD0FA5">
            <w:pPr>
              <w:numPr>
                <w:ilvl w:val="0"/>
                <w:numId w:val="6"/>
              </w:numPr>
              <w:tabs>
                <w:tab w:val="left" w:pos="1134"/>
              </w:tabs>
              <w:spacing w:after="0" w:line="240" w:lineRule="auto"/>
              <w:rPr>
                <w:rFonts w:ascii="Arial" w:eastAsia="Arial" w:hAnsi="Arial" w:cs="Arial"/>
                <w:sz w:val="24"/>
                <w:szCs w:val="24"/>
              </w:rPr>
            </w:pPr>
            <w:r>
              <w:rPr>
                <w:rFonts w:ascii="Arial" w:eastAsia="Arial" w:hAnsi="Arial" w:cs="Arial"/>
                <w:sz w:val="24"/>
                <w:szCs w:val="24"/>
              </w:rPr>
              <w:t>Non-practising legal experience in international trade can also be considered, for example, in academia or at the WTO</w:t>
            </w:r>
          </w:p>
          <w:p w:rsidR="007D44AC" w:rsidRDefault="00DD0FA5">
            <w:pPr>
              <w:numPr>
                <w:ilvl w:val="0"/>
                <w:numId w:val="6"/>
              </w:numPr>
              <w:tabs>
                <w:tab w:val="left" w:pos="1134"/>
              </w:tabs>
              <w:spacing w:after="0" w:line="240" w:lineRule="auto"/>
              <w:rPr>
                <w:rFonts w:ascii="Arial" w:eastAsia="Arial" w:hAnsi="Arial" w:cs="Arial"/>
                <w:sz w:val="24"/>
                <w:szCs w:val="24"/>
              </w:rPr>
            </w:pPr>
            <w:r>
              <w:rPr>
                <w:rFonts w:ascii="Arial" w:eastAsia="Arial" w:hAnsi="Arial" w:cs="Arial"/>
                <w:sz w:val="24"/>
                <w:szCs w:val="24"/>
              </w:rPr>
              <w:t>Main point of contact for day-to-day Buyer liaison (for more complex/significant and non-routine matters)</w:t>
            </w:r>
          </w:p>
          <w:p w:rsidR="007D44AC" w:rsidRDefault="00DD0FA5">
            <w:pPr>
              <w:numPr>
                <w:ilvl w:val="0"/>
                <w:numId w:val="6"/>
              </w:numPr>
              <w:tabs>
                <w:tab w:val="left" w:pos="1134"/>
              </w:tabs>
              <w:spacing w:after="0" w:line="240" w:lineRule="auto"/>
              <w:rPr>
                <w:rFonts w:ascii="Arial" w:eastAsia="Arial" w:hAnsi="Arial" w:cs="Arial"/>
                <w:sz w:val="24"/>
                <w:szCs w:val="24"/>
              </w:rPr>
            </w:pPr>
            <w:r>
              <w:rPr>
                <w:rFonts w:ascii="Arial" w:eastAsia="Arial" w:hAnsi="Arial" w:cs="Arial"/>
                <w:sz w:val="24"/>
                <w:szCs w:val="24"/>
              </w:rPr>
              <w:t>Considered expert in the relevant field.</w:t>
            </w:r>
          </w:p>
          <w:p w:rsidR="007D44AC" w:rsidRDefault="00DD0FA5">
            <w:pPr>
              <w:numPr>
                <w:ilvl w:val="0"/>
                <w:numId w:val="6"/>
              </w:numPr>
              <w:tabs>
                <w:tab w:val="left" w:pos="1134"/>
              </w:tabs>
              <w:spacing w:after="0" w:line="240" w:lineRule="auto"/>
              <w:rPr>
                <w:rFonts w:ascii="Arial" w:eastAsia="Arial" w:hAnsi="Arial" w:cs="Arial"/>
                <w:sz w:val="24"/>
                <w:szCs w:val="24"/>
              </w:rPr>
            </w:pPr>
            <w:r>
              <w:rPr>
                <w:rFonts w:ascii="Arial" w:eastAsia="Arial" w:hAnsi="Arial" w:cs="Arial"/>
                <w:sz w:val="24"/>
                <w:szCs w:val="24"/>
              </w:rPr>
              <w:t>Key point of contact with the Buyer </w:t>
            </w:r>
          </w:p>
          <w:p w:rsidR="007D44AC" w:rsidRDefault="00DD0FA5">
            <w:pPr>
              <w:numPr>
                <w:ilvl w:val="0"/>
                <w:numId w:val="6"/>
              </w:numPr>
              <w:tabs>
                <w:tab w:val="left" w:pos="1134"/>
              </w:tabs>
              <w:spacing w:after="0" w:line="240" w:lineRule="auto"/>
              <w:rPr>
                <w:rFonts w:ascii="Arial" w:eastAsia="Arial" w:hAnsi="Arial" w:cs="Arial"/>
                <w:sz w:val="24"/>
                <w:szCs w:val="24"/>
              </w:rPr>
            </w:pPr>
            <w:r>
              <w:rPr>
                <w:rFonts w:ascii="Arial" w:eastAsia="Arial" w:hAnsi="Arial" w:cs="Arial"/>
                <w:sz w:val="24"/>
                <w:szCs w:val="24"/>
              </w:rPr>
              <w:t xml:space="preserve">Overall responsibility for quality assurance, success of project and supervision of Supplier personnel </w:t>
            </w:r>
          </w:p>
          <w:p w:rsidR="007D44AC" w:rsidRDefault="00DD0FA5">
            <w:pPr>
              <w:numPr>
                <w:ilvl w:val="0"/>
                <w:numId w:val="6"/>
              </w:numPr>
              <w:tabs>
                <w:tab w:val="left" w:pos="1134"/>
              </w:tabs>
              <w:spacing w:after="0" w:line="240" w:lineRule="auto"/>
              <w:rPr>
                <w:rFonts w:ascii="Arial" w:eastAsia="Arial" w:hAnsi="Arial" w:cs="Arial"/>
                <w:sz w:val="24"/>
                <w:szCs w:val="24"/>
              </w:rPr>
            </w:pPr>
            <w:r>
              <w:rPr>
                <w:rFonts w:ascii="Arial" w:eastAsia="Arial" w:hAnsi="Arial" w:cs="Arial"/>
                <w:sz w:val="24"/>
                <w:szCs w:val="24"/>
              </w:rPr>
              <w:t xml:space="preserve">Overall responsibility for working within budgets agreed as part of a Legal Services Contract  </w:t>
            </w:r>
          </w:p>
          <w:p w:rsidR="007D44AC" w:rsidRDefault="00DD0FA5">
            <w:pPr>
              <w:numPr>
                <w:ilvl w:val="0"/>
                <w:numId w:val="6"/>
              </w:numPr>
              <w:tabs>
                <w:tab w:val="left" w:pos="1134"/>
              </w:tabs>
              <w:spacing w:line="240" w:lineRule="auto"/>
              <w:rPr>
                <w:rFonts w:ascii="Arial" w:eastAsia="Arial" w:hAnsi="Arial" w:cs="Arial"/>
                <w:sz w:val="24"/>
                <w:szCs w:val="24"/>
              </w:rPr>
            </w:pPr>
            <w:r>
              <w:rPr>
                <w:rFonts w:ascii="Arial" w:eastAsia="Arial" w:hAnsi="Arial" w:cs="Arial"/>
                <w:sz w:val="24"/>
                <w:szCs w:val="24"/>
              </w:rPr>
              <w:t>Appropriate direct contribution to complex/important legal matters relating to a Legal Services Contract</w:t>
            </w:r>
          </w:p>
        </w:tc>
      </w:tr>
      <w:tr w:rsidR="007D44AC">
        <w:trPr>
          <w:trHeight w:val="2940"/>
        </w:trPr>
        <w:tc>
          <w:tcPr>
            <w:tcW w:w="780" w:type="dxa"/>
            <w:tcBorders>
              <w:top w:val="nil"/>
              <w:left w:val="single" w:sz="6" w:space="0" w:color="000000"/>
              <w:bottom w:val="single" w:sz="6" w:space="0" w:color="000000"/>
              <w:right w:val="single" w:sz="6" w:space="0" w:color="000000"/>
            </w:tcBorders>
            <w:tcMar>
              <w:top w:w="0" w:type="dxa"/>
              <w:left w:w="0" w:type="dxa"/>
              <w:bottom w:w="0" w:type="dxa"/>
              <w:right w:w="0" w:type="dxa"/>
            </w:tcMar>
          </w:tcPr>
          <w:p w:rsidR="007D44AC" w:rsidRDefault="00DD0FA5">
            <w:pPr>
              <w:tabs>
                <w:tab w:val="left" w:pos="1134"/>
              </w:tabs>
              <w:spacing w:after="0" w:line="240" w:lineRule="auto"/>
              <w:jc w:val="center"/>
              <w:rPr>
                <w:rFonts w:ascii="Arial" w:eastAsia="Arial" w:hAnsi="Arial" w:cs="Arial"/>
                <w:sz w:val="24"/>
                <w:szCs w:val="24"/>
              </w:rPr>
            </w:pPr>
            <w:r>
              <w:rPr>
                <w:rFonts w:ascii="Arial" w:eastAsia="Arial" w:hAnsi="Arial" w:cs="Arial"/>
                <w:sz w:val="24"/>
                <w:szCs w:val="24"/>
              </w:rPr>
              <w:t xml:space="preserve">3 </w:t>
            </w:r>
          </w:p>
        </w:tc>
        <w:tc>
          <w:tcPr>
            <w:tcW w:w="1170" w:type="dxa"/>
            <w:tcBorders>
              <w:top w:val="nil"/>
              <w:left w:val="nil"/>
              <w:bottom w:val="single" w:sz="6" w:space="0" w:color="000000"/>
              <w:right w:val="single" w:sz="6" w:space="0" w:color="000000"/>
            </w:tcBorders>
            <w:tcMar>
              <w:top w:w="0" w:type="dxa"/>
              <w:left w:w="0" w:type="dxa"/>
              <w:bottom w:w="0" w:type="dxa"/>
              <w:right w:w="0" w:type="dxa"/>
            </w:tcMar>
          </w:tcPr>
          <w:p w:rsidR="007D44AC" w:rsidRDefault="00DD0FA5">
            <w:pPr>
              <w:tabs>
                <w:tab w:val="left" w:pos="1134"/>
              </w:tabs>
              <w:spacing w:after="0" w:line="240" w:lineRule="auto"/>
              <w:jc w:val="center"/>
              <w:rPr>
                <w:rFonts w:ascii="Arial" w:eastAsia="Arial" w:hAnsi="Arial" w:cs="Arial"/>
                <w:sz w:val="24"/>
                <w:szCs w:val="24"/>
              </w:rPr>
            </w:pPr>
            <w:r>
              <w:rPr>
                <w:rFonts w:ascii="Arial" w:eastAsia="Arial" w:hAnsi="Arial" w:cs="Arial"/>
                <w:sz w:val="24"/>
                <w:szCs w:val="24"/>
              </w:rPr>
              <w:t xml:space="preserve">5-10 </w:t>
            </w:r>
          </w:p>
        </w:tc>
        <w:tc>
          <w:tcPr>
            <w:tcW w:w="1125" w:type="dxa"/>
            <w:tcBorders>
              <w:top w:val="nil"/>
              <w:left w:val="nil"/>
              <w:bottom w:val="single" w:sz="6" w:space="0" w:color="000000"/>
              <w:right w:val="single" w:sz="6" w:space="0" w:color="000000"/>
            </w:tcBorders>
            <w:tcMar>
              <w:top w:w="0" w:type="dxa"/>
              <w:left w:w="0" w:type="dxa"/>
              <w:bottom w:w="0" w:type="dxa"/>
              <w:right w:w="0" w:type="dxa"/>
            </w:tcMar>
          </w:tcPr>
          <w:p w:rsidR="007D44AC" w:rsidRDefault="00DD0FA5">
            <w:pPr>
              <w:tabs>
                <w:tab w:val="left" w:pos="1134"/>
              </w:tabs>
              <w:spacing w:after="0" w:line="240" w:lineRule="auto"/>
              <w:jc w:val="center"/>
              <w:rPr>
                <w:rFonts w:ascii="Arial" w:eastAsia="Arial" w:hAnsi="Arial" w:cs="Arial"/>
                <w:sz w:val="24"/>
                <w:szCs w:val="24"/>
              </w:rPr>
            </w:pPr>
            <w:r>
              <w:rPr>
                <w:rFonts w:ascii="Arial" w:eastAsia="Arial" w:hAnsi="Arial" w:cs="Arial"/>
                <w:sz w:val="24"/>
                <w:szCs w:val="24"/>
              </w:rPr>
              <w:t xml:space="preserve">Senior Solicitor, Senior Associate </w:t>
            </w:r>
          </w:p>
        </w:tc>
        <w:tc>
          <w:tcPr>
            <w:tcW w:w="5400" w:type="dxa"/>
            <w:tcBorders>
              <w:top w:val="nil"/>
              <w:left w:val="nil"/>
              <w:bottom w:val="single" w:sz="6" w:space="0" w:color="000000"/>
              <w:right w:val="single" w:sz="6" w:space="0" w:color="000000"/>
            </w:tcBorders>
            <w:tcMar>
              <w:top w:w="0" w:type="dxa"/>
              <w:left w:w="0" w:type="dxa"/>
              <w:bottom w:w="0" w:type="dxa"/>
              <w:right w:w="0" w:type="dxa"/>
            </w:tcMar>
          </w:tcPr>
          <w:p w:rsidR="007D44AC" w:rsidRDefault="00DD0FA5">
            <w:pPr>
              <w:numPr>
                <w:ilvl w:val="0"/>
                <w:numId w:val="7"/>
              </w:numPr>
              <w:tabs>
                <w:tab w:val="left" w:pos="1134"/>
              </w:tabs>
              <w:spacing w:after="0" w:line="240" w:lineRule="auto"/>
              <w:rPr>
                <w:rFonts w:ascii="Arial" w:eastAsia="Arial" w:hAnsi="Arial" w:cs="Arial"/>
                <w:sz w:val="24"/>
                <w:szCs w:val="24"/>
              </w:rPr>
            </w:pPr>
            <w:r>
              <w:rPr>
                <w:rFonts w:ascii="Arial" w:eastAsia="Arial" w:hAnsi="Arial" w:cs="Arial"/>
                <w:sz w:val="24"/>
                <w:szCs w:val="24"/>
              </w:rPr>
              <w:t xml:space="preserve">Typically expected to have 5-10 years’ PQE </w:t>
            </w:r>
          </w:p>
          <w:p w:rsidR="007D44AC" w:rsidRDefault="00DD0FA5">
            <w:pPr>
              <w:numPr>
                <w:ilvl w:val="0"/>
                <w:numId w:val="7"/>
              </w:numPr>
              <w:tabs>
                <w:tab w:val="left" w:pos="1134"/>
              </w:tabs>
              <w:spacing w:after="0" w:line="240" w:lineRule="auto"/>
              <w:rPr>
                <w:rFonts w:ascii="Arial" w:eastAsia="Arial" w:hAnsi="Arial" w:cs="Arial"/>
                <w:sz w:val="24"/>
                <w:szCs w:val="24"/>
              </w:rPr>
            </w:pPr>
            <w:r>
              <w:rPr>
                <w:rFonts w:ascii="Arial" w:eastAsia="Arial" w:hAnsi="Arial" w:cs="Arial"/>
                <w:sz w:val="24"/>
                <w:szCs w:val="24"/>
              </w:rPr>
              <w:t>Non-practising legal experience in international trade can also be considered, for example, in academia or at the WTO</w:t>
            </w:r>
          </w:p>
          <w:p w:rsidR="007D44AC" w:rsidRDefault="00DD0FA5">
            <w:pPr>
              <w:numPr>
                <w:ilvl w:val="0"/>
                <w:numId w:val="7"/>
              </w:numPr>
              <w:tabs>
                <w:tab w:val="left" w:pos="1134"/>
              </w:tabs>
              <w:spacing w:after="0" w:line="240" w:lineRule="auto"/>
              <w:rPr>
                <w:rFonts w:ascii="Arial" w:eastAsia="Arial" w:hAnsi="Arial" w:cs="Arial"/>
                <w:sz w:val="24"/>
                <w:szCs w:val="24"/>
              </w:rPr>
            </w:pPr>
            <w:r>
              <w:rPr>
                <w:rFonts w:ascii="Arial" w:eastAsia="Arial" w:hAnsi="Arial" w:cs="Arial"/>
                <w:sz w:val="24"/>
                <w:szCs w:val="24"/>
              </w:rPr>
              <w:t>Substantive experience and proficiency in the relevant field</w:t>
            </w:r>
          </w:p>
          <w:p w:rsidR="007D44AC" w:rsidRDefault="00DD0FA5">
            <w:pPr>
              <w:numPr>
                <w:ilvl w:val="0"/>
                <w:numId w:val="7"/>
              </w:numPr>
              <w:tabs>
                <w:tab w:val="left" w:pos="1134"/>
              </w:tabs>
              <w:spacing w:after="0" w:line="240" w:lineRule="auto"/>
              <w:rPr>
                <w:rFonts w:ascii="Arial" w:eastAsia="Arial" w:hAnsi="Arial" w:cs="Arial"/>
                <w:sz w:val="24"/>
                <w:szCs w:val="24"/>
              </w:rPr>
            </w:pPr>
            <w:r>
              <w:rPr>
                <w:rFonts w:ascii="Arial" w:eastAsia="Arial" w:hAnsi="Arial" w:cs="Arial"/>
                <w:sz w:val="24"/>
                <w:szCs w:val="24"/>
              </w:rPr>
              <w:t xml:space="preserve">Day-to-day matter management  </w:t>
            </w:r>
          </w:p>
          <w:p w:rsidR="007D44AC" w:rsidRDefault="00DD0FA5">
            <w:pPr>
              <w:numPr>
                <w:ilvl w:val="0"/>
                <w:numId w:val="7"/>
              </w:numPr>
              <w:tabs>
                <w:tab w:val="left" w:pos="1134"/>
              </w:tabs>
              <w:spacing w:after="0" w:line="240" w:lineRule="auto"/>
              <w:rPr>
                <w:rFonts w:ascii="Arial" w:eastAsia="Arial" w:hAnsi="Arial" w:cs="Arial"/>
                <w:sz w:val="24"/>
                <w:szCs w:val="24"/>
              </w:rPr>
            </w:pPr>
            <w:r>
              <w:rPr>
                <w:rFonts w:ascii="Arial" w:eastAsia="Arial" w:hAnsi="Arial" w:cs="Arial"/>
                <w:sz w:val="24"/>
                <w:szCs w:val="24"/>
              </w:rPr>
              <w:t>Significant level of quality assurance</w:t>
            </w:r>
          </w:p>
          <w:p w:rsidR="007D44AC" w:rsidRDefault="00DD0FA5">
            <w:pPr>
              <w:numPr>
                <w:ilvl w:val="0"/>
                <w:numId w:val="7"/>
              </w:numPr>
              <w:tabs>
                <w:tab w:val="left" w:pos="1134"/>
              </w:tabs>
              <w:spacing w:after="0" w:line="240" w:lineRule="auto"/>
              <w:rPr>
                <w:rFonts w:ascii="Arial" w:eastAsia="Arial" w:hAnsi="Arial" w:cs="Arial"/>
                <w:sz w:val="24"/>
                <w:szCs w:val="24"/>
              </w:rPr>
            </w:pPr>
            <w:r>
              <w:rPr>
                <w:rFonts w:ascii="Arial" w:eastAsia="Arial" w:hAnsi="Arial" w:cs="Arial"/>
                <w:sz w:val="24"/>
                <w:szCs w:val="24"/>
              </w:rPr>
              <w:t>Appropriate direct contribution to difficult/important legal matters relating to a Legal Services Contract</w:t>
            </w:r>
          </w:p>
          <w:p w:rsidR="007D44AC" w:rsidRDefault="00DD0FA5">
            <w:pPr>
              <w:numPr>
                <w:ilvl w:val="0"/>
                <w:numId w:val="7"/>
              </w:numPr>
              <w:tabs>
                <w:tab w:val="left" w:pos="1134"/>
              </w:tabs>
              <w:spacing w:line="240" w:lineRule="auto"/>
              <w:rPr>
                <w:rFonts w:ascii="Arial" w:eastAsia="Arial" w:hAnsi="Arial" w:cs="Arial"/>
                <w:sz w:val="24"/>
                <w:szCs w:val="24"/>
              </w:rPr>
            </w:pPr>
            <w:r>
              <w:rPr>
                <w:rFonts w:ascii="Arial" w:eastAsia="Arial" w:hAnsi="Arial" w:cs="Arial"/>
                <w:sz w:val="24"/>
                <w:szCs w:val="24"/>
              </w:rPr>
              <w:t xml:space="preserve">Will involve more senior grades of lawyer as appropriate  </w:t>
            </w:r>
          </w:p>
        </w:tc>
      </w:tr>
      <w:tr w:rsidR="007D44AC">
        <w:trPr>
          <w:trHeight w:val="2280"/>
        </w:trPr>
        <w:tc>
          <w:tcPr>
            <w:tcW w:w="780" w:type="dxa"/>
            <w:tcBorders>
              <w:top w:val="nil"/>
              <w:left w:val="single" w:sz="6" w:space="0" w:color="000000"/>
              <w:bottom w:val="single" w:sz="6" w:space="0" w:color="000000"/>
              <w:right w:val="single" w:sz="6" w:space="0" w:color="000000"/>
            </w:tcBorders>
            <w:tcMar>
              <w:top w:w="0" w:type="dxa"/>
              <w:left w:w="0" w:type="dxa"/>
              <w:bottom w:w="0" w:type="dxa"/>
              <w:right w:w="0" w:type="dxa"/>
            </w:tcMar>
          </w:tcPr>
          <w:p w:rsidR="007D44AC" w:rsidRDefault="00DD0FA5">
            <w:pPr>
              <w:tabs>
                <w:tab w:val="left" w:pos="1134"/>
              </w:tabs>
              <w:spacing w:after="0" w:line="240" w:lineRule="auto"/>
              <w:jc w:val="center"/>
              <w:rPr>
                <w:rFonts w:ascii="Arial" w:eastAsia="Arial" w:hAnsi="Arial" w:cs="Arial"/>
                <w:sz w:val="24"/>
                <w:szCs w:val="24"/>
              </w:rPr>
            </w:pPr>
            <w:r>
              <w:rPr>
                <w:rFonts w:ascii="Arial" w:eastAsia="Arial" w:hAnsi="Arial" w:cs="Arial"/>
                <w:sz w:val="24"/>
                <w:szCs w:val="24"/>
              </w:rPr>
              <w:t xml:space="preserve">4 </w:t>
            </w:r>
          </w:p>
        </w:tc>
        <w:tc>
          <w:tcPr>
            <w:tcW w:w="1170" w:type="dxa"/>
            <w:tcBorders>
              <w:top w:val="nil"/>
              <w:left w:val="nil"/>
              <w:bottom w:val="single" w:sz="6" w:space="0" w:color="000000"/>
              <w:right w:val="single" w:sz="6" w:space="0" w:color="000000"/>
            </w:tcBorders>
            <w:tcMar>
              <w:top w:w="0" w:type="dxa"/>
              <w:left w:w="0" w:type="dxa"/>
              <w:bottom w:w="0" w:type="dxa"/>
              <w:right w:w="0" w:type="dxa"/>
            </w:tcMar>
          </w:tcPr>
          <w:p w:rsidR="007D44AC" w:rsidRDefault="00DD0FA5">
            <w:pPr>
              <w:tabs>
                <w:tab w:val="left" w:pos="1134"/>
              </w:tabs>
              <w:spacing w:after="0" w:line="240" w:lineRule="auto"/>
              <w:jc w:val="center"/>
              <w:rPr>
                <w:rFonts w:ascii="Arial" w:eastAsia="Arial" w:hAnsi="Arial" w:cs="Arial"/>
                <w:sz w:val="24"/>
                <w:szCs w:val="24"/>
              </w:rPr>
            </w:pPr>
            <w:r>
              <w:rPr>
                <w:rFonts w:ascii="Arial" w:eastAsia="Arial" w:hAnsi="Arial" w:cs="Arial"/>
                <w:sz w:val="24"/>
                <w:szCs w:val="24"/>
              </w:rPr>
              <w:t xml:space="preserve">3-5 </w:t>
            </w:r>
          </w:p>
        </w:tc>
        <w:tc>
          <w:tcPr>
            <w:tcW w:w="1125" w:type="dxa"/>
            <w:tcBorders>
              <w:top w:val="nil"/>
              <w:left w:val="nil"/>
              <w:bottom w:val="single" w:sz="6" w:space="0" w:color="000000"/>
              <w:right w:val="single" w:sz="6" w:space="0" w:color="000000"/>
            </w:tcBorders>
            <w:tcMar>
              <w:top w:w="0" w:type="dxa"/>
              <w:left w:w="0" w:type="dxa"/>
              <w:bottom w:w="0" w:type="dxa"/>
              <w:right w:w="0" w:type="dxa"/>
            </w:tcMar>
          </w:tcPr>
          <w:p w:rsidR="007D44AC" w:rsidRDefault="00DD0FA5">
            <w:pPr>
              <w:tabs>
                <w:tab w:val="left" w:pos="1134"/>
              </w:tabs>
              <w:spacing w:after="0" w:line="240" w:lineRule="auto"/>
              <w:jc w:val="center"/>
              <w:rPr>
                <w:rFonts w:ascii="Arial" w:eastAsia="Arial" w:hAnsi="Arial" w:cs="Arial"/>
                <w:sz w:val="24"/>
                <w:szCs w:val="24"/>
              </w:rPr>
            </w:pPr>
            <w:r>
              <w:rPr>
                <w:rFonts w:ascii="Arial" w:eastAsia="Arial" w:hAnsi="Arial" w:cs="Arial"/>
                <w:sz w:val="24"/>
                <w:szCs w:val="24"/>
              </w:rPr>
              <w:t xml:space="preserve">Solicitor, Associate </w:t>
            </w:r>
          </w:p>
        </w:tc>
        <w:tc>
          <w:tcPr>
            <w:tcW w:w="5400" w:type="dxa"/>
            <w:tcBorders>
              <w:top w:val="nil"/>
              <w:left w:val="nil"/>
              <w:bottom w:val="single" w:sz="6" w:space="0" w:color="000000"/>
              <w:right w:val="single" w:sz="6" w:space="0" w:color="000000"/>
            </w:tcBorders>
            <w:tcMar>
              <w:top w:w="0" w:type="dxa"/>
              <w:left w:w="0" w:type="dxa"/>
              <w:bottom w:w="0" w:type="dxa"/>
              <w:right w:w="0" w:type="dxa"/>
            </w:tcMar>
          </w:tcPr>
          <w:p w:rsidR="007D44AC" w:rsidRDefault="00DD0FA5">
            <w:pPr>
              <w:numPr>
                <w:ilvl w:val="0"/>
                <w:numId w:val="2"/>
              </w:numPr>
              <w:tabs>
                <w:tab w:val="left" w:pos="1134"/>
              </w:tabs>
              <w:spacing w:after="0" w:line="240" w:lineRule="auto"/>
              <w:rPr>
                <w:rFonts w:ascii="Arial" w:eastAsia="Arial" w:hAnsi="Arial" w:cs="Arial"/>
                <w:sz w:val="24"/>
                <w:szCs w:val="24"/>
              </w:rPr>
            </w:pPr>
            <w:r>
              <w:rPr>
                <w:rFonts w:ascii="Arial" w:eastAsia="Arial" w:hAnsi="Arial" w:cs="Arial"/>
                <w:sz w:val="24"/>
                <w:szCs w:val="24"/>
              </w:rPr>
              <w:t xml:space="preserve">Typically expected to have 3-5 years’ PQE </w:t>
            </w:r>
          </w:p>
          <w:p w:rsidR="007D44AC" w:rsidRDefault="00DD0FA5">
            <w:pPr>
              <w:numPr>
                <w:ilvl w:val="0"/>
                <w:numId w:val="2"/>
              </w:numPr>
              <w:tabs>
                <w:tab w:val="left" w:pos="1134"/>
              </w:tabs>
              <w:spacing w:after="0" w:line="240" w:lineRule="auto"/>
              <w:rPr>
                <w:rFonts w:ascii="Arial" w:eastAsia="Arial" w:hAnsi="Arial" w:cs="Arial"/>
                <w:sz w:val="24"/>
                <w:szCs w:val="24"/>
              </w:rPr>
            </w:pPr>
            <w:r>
              <w:rPr>
                <w:rFonts w:ascii="Arial" w:eastAsia="Arial" w:hAnsi="Arial" w:cs="Arial"/>
                <w:sz w:val="24"/>
                <w:szCs w:val="24"/>
              </w:rPr>
              <w:t>Non-practising legal experience in international trade can also be considered, for example, in academia or at the WTO</w:t>
            </w:r>
          </w:p>
          <w:p w:rsidR="007D44AC" w:rsidRDefault="00DD0FA5">
            <w:pPr>
              <w:numPr>
                <w:ilvl w:val="0"/>
                <w:numId w:val="2"/>
              </w:numPr>
              <w:tabs>
                <w:tab w:val="left" w:pos="1134"/>
              </w:tabs>
              <w:spacing w:after="0" w:line="240" w:lineRule="auto"/>
              <w:rPr>
                <w:rFonts w:ascii="Arial" w:eastAsia="Arial" w:hAnsi="Arial" w:cs="Arial"/>
                <w:sz w:val="24"/>
                <w:szCs w:val="24"/>
              </w:rPr>
            </w:pPr>
            <w:r>
              <w:rPr>
                <w:rFonts w:ascii="Arial" w:eastAsia="Arial" w:hAnsi="Arial" w:cs="Arial"/>
                <w:sz w:val="24"/>
                <w:szCs w:val="24"/>
              </w:rPr>
              <w:t>Main contact for day-to-day Buyer liaison (for simple and routine matters)</w:t>
            </w:r>
          </w:p>
          <w:p w:rsidR="007D44AC" w:rsidRDefault="00DD0FA5">
            <w:pPr>
              <w:numPr>
                <w:ilvl w:val="0"/>
                <w:numId w:val="2"/>
              </w:numPr>
              <w:tabs>
                <w:tab w:val="left" w:pos="1134"/>
              </w:tabs>
              <w:spacing w:line="240" w:lineRule="auto"/>
              <w:rPr>
                <w:rFonts w:ascii="Arial" w:eastAsia="Arial" w:hAnsi="Arial" w:cs="Arial"/>
                <w:sz w:val="24"/>
                <w:szCs w:val="24"/>
              </w:rPr>
            </w:pPr>
            <w:r>
              <w:rPr>
                <w:rFonts w:ascii="Arial" w:eastAsia="Arial" w:hAnsi="Arial" w:cs="Arial"/>
                <w:sz w:val="24"/>
                <w:szCs w:val="24"/>
              </w:rPr>
              <w:t>Will involve more senior grades of lawyer as appropriate; </w:t>
            </w:r>
          </w:p>
        </w:tc>
      </w:tr>
      <w:tr w:rsidR="007D44AC">
        <w:trPr>
          <w:trHeight w:val="885"/>
        </w:trPr>
        <w:tc>
          <w:tcPr>
            <w:tcW w:w="780" w:type="dxa"/>
            <w:tcBorders>
              <w:top w:val="nil"/>
              <w:left w:val="single" w:sz="6" w:space="0" w:color="000000"/>
              <w:bottom w:val="single" w:sz="6" w:space="0" w:color="000000"/>
              <w:right w:val="single" w:sz="6" w:space="0" w:color="000000"/>
            </w:tcBorders>
            <w:tcMar>
              <w:top w:w="0" w:type="dxa"/>
              <w:left w:w="0" w:type="dxa"/>
              <w:bottom w:w="0" w:type="dxa"/>
              <w:right w:w="0" w:type="dxa"/>
            </w:tcMar>
          </w:tcPr>
          <w:p w:rsidR="007D44AC" w:rsidRDefault="00DD0FA5">
            <w:pPr>
              <w:tabs>
                <w:tab w:val="left" w:pos="1134"/>
              </w:tabs>
              <w:spacing w:after="0" w:line="240" w:lineRule="auto"/>
              <w:jc w:val="center"/>
              <w:rPr>
                <w:rFonts w:ascii="Arial" w:eastAsia="Arial" w:hAnsi="Arial" w:cs="Arial"/>
                <w:sz w:val="24"/>
                <w:szCs w:val="24"/>
              </w:rPr>
            </w:pPr>
            <w:r>
              <w:rPr>
                <w:rFonts w:ascii="Arial" w:eastAsia="Arial" w:hAnsi="Arial" w:cs="Arial"/>
                <w:sz w:val="24"/>
                <w:szCs w:val="24"/>
              </w:rPr>
              <w:t xml:space="preserve">5 </w:t>
            </w:r>
          </w:p>
        </w:tc>
        <w:tc>
          <w:tcPr>
            <w:tcW w:w="1170" w:type="dxa"/>
            <w:tcBorders>
              <w:top w:val="nil"/>
              <w:left w:val="nil"/>
              <w:bottom w:val="single" w:sz="6" w:space="0" w:color="000000"/>
              <w:right w:val="single" w:sz="6" w:space="0" w:color="000000"/>
            </w:tcBorders>
            <w:tcMar>
              <w:top w:w="0" w:type="dxa"/>
              <w:left w:w="0" w:type="dxa"/>
              <w:bottom w:w="0" w:type="dxa"/>
              <w:right w:w="0" w:type="dxa"/>
            </w:tcMar>
          </w:tcPr>
          <w:p w:rsidR="007D44AC" w:rsidRDefault="00DD0FA5">
            <w:pPr>
              <w:tabs>
                <w:tab w:val="left" w:pos="1134"/>
              </w:tabs>
              <w:spacing w:after="0" w:line="240" w:lineRule="auto"/>
              <w:jc w:val="center"/>
              <w:rPr>
                <w:rFonts w:ascii="Arial" w:eastAsia="Arial" w:hAnsi="Arial" w:cs="Arial"/>
                <w:sz w:val="24"/>
                <w:szCs w:val="24"/>
              </w:rPr>
            </w:pPr>
            <w:r>
              <w:rPr>
                <w:rFonts w:ascii="Arial" w:eastAsia="Arial" w:hAnsi="Arial" w:cs="Arial"/>
                <w:sz w:val="24"/>
                <w:szCs w:val="24"/>
              </w:rPr>
              <w:t xml:space="preserve">0-3 </w:t>
            </w:r>
          </w:p>
        </w:tc>
        <w:tc>
          <w:tcPr>
            <w:tcW w:w="1125" w:type="dxa"/>
            <w:tcBorders>
              <w:top w:val="nil"/>
              <w:left w:val="nil"/>
              <w:bottom w:val="single" w:sz="6" w:space="0" w:color="000000"/>
              <w:right w:val="single" w:sz="6" w:space="0" w:color="000000"/>
            </w:tcBorders>
            <w:tcMar>
              <w:top w:w="0" w:type="dxa"/>
              <w:left w:w="0" w:type="dxa"/>
              <w:bottom w:w="0" w:type="dxa"/>
              <w:right w:w="0" w:type="dxa"/>
            </w:tcMar>
          </w:tcPr>
          <w:p w:rsidR="007D44AC" w:rsidRDefault="00DD0FA5">
            <w:pPr>
              <w:tabs>
                <w:tab w:val="left" w:pos="1134"/>
              </w:tabs>
              <w:spacing w:after="0" w:line="240" w:lineRule="auto"/>
              <w:jc w:val="center"/>
              <w:rPr>
                <w:rFonts w:ascii="Arial" w:eastAsia="Arial" w:hAnsi="Arial" w:cs="Arial"/>
                <w:sz w:val="24"/>
                <w:szCs w:val="24"/>
              </w:rPr>
            </w:pPr>
            <w:r>
              <w:rPr>
                <w:rFonts w:ascii="Arial" w:eastAsia="Arial" w:hAnsi="Arial" w:cs="Arial"/>
                <w:sz w:val="24"/>
                <w:szCs w:val="24"/>
              </w:rPr>
              <w:t xml:space="preserve">NQ Solicitor/Associate, Junior Solicitor/Associate </w:t>
            </w:r>
          </w:p>
        </w:tc>
        <w:tc>
          <w:tcPr>
            <w:tcW w:w="5400" w:type="dxa"/>
            <w:tcBorders>
              <w:top w:val="nil"/>
              <w:left w:val="nil"/>
              <w:bottom w:val="single" w:sz="6" w:space="0" w:color="000000"/>
              <w:right w:val="single" w:sz="6" w:space="0" w:color="000000"/>
            </w:tcBorders>
            <w:tcMar>
              <w:top w:w="0" w:type="dxa"/>
              <w:left w:w="0" w:type="dxa"/>
              <w:bottom w:w="0" w:type="dxa"/>
              <w:right w:w="0" w:type="dxa"/>
            </w:tcMar>
          </w:tcPr>
          <w:p w:rsidR="007D44AC" w:rsidRDefault="00DD0FA5">
            <w:pPr>
              <w:numPr>
                <w:ilvl w:val="0"/>
                <w:numId w:val="11"/>
              </w:numPr>
              <w:tabs>
                <w:tab w:val="left" w:pos="1134"/>
              </w:tabs>
              <w:spacing w:before="40" w:after="0" w:line="240" w:lineRule="auto"/>
              <w:rPr>
                <w:rFonts w:ascii="Arial" w:eastAsia="Arial" w:hAnsi="Arial" w:cs="Arial"/>
                <w:sz w:val="24"/>
                <w:szCs w:val="24"/>
                <w:highlight w:val="white"/>
              </w:rPr>
            </w:pPr>
            <w:r>
              <w:rPr>
                <w:rFonts w:ascii="Arial" w:eastAsia="Arial" w:hAnsi="Arial" w:cs="Arial"/>
                <w:sz w:val="24"/>
                <w:szCs w:val="24"/>
                <w:highlight w:val="white"/>
              </w:rPr>
              <w:t>Typically expected to have up to 3 years’ PQE</w:t>
            </w:r>
          </w:p>
          <w:p w:rsidR="007D44AC" w:rsidRDefault="00DD0FA5">
            <w:pPr>
              <w:numPr>
                <w:ilvl w:val="0"/>
                <w:numId w:val="11"/>
              </w:numPr>
              <w:tabs>
                <w:tab w:val="left" w:pos="1134"/>
              </w:tabs>
              <w:spacing w:line="240" w:lineRule="auto"/>
              <w:rPr>
                <w:rFonts w:ascii="Arial" w:eastAsia="Arial" w:hAnsi="Arial" w:cs="Arial"/>
                <w:sz w:val="24"/>
                <w:szCs w:val="24"/>
                <w:highlight w:val="white"/>
              </w:rPr>
            </w:pPr>
            <w:r>
              <w:rPr>
                <w:rFonts w:ascii="Arial" w:eastAsia="Arial" w:hAnsi="Arial" w:cs="Arial"/>
                <w:sz w:val="24"/>
                <w:szCs w:val="24"/>
                <w:highlight w:val="white"/>
              </w:rPr>
              <w:t>Non-practising legal experience in international trade can also be considered, for example, in academia or at the WTO</w:t>
            </w:r>
          </w:p>
        </w:tc>
      </w:tr>
      <w:tr w:rsidR="007D44AC">
        <w:trPr>
          <w:trHeight w:val="1395"/>
        </w:trPr>
        <w:tc>
          <w:tcPr>
            <w:tcW w:w="780" w:type="dxa"/>
            <w:tcBorders>
              <w:top w:val="nil"/>
              <w:left w:val="single" w:sz="6" w:space="0" w:color="000000"/>
              <w:bottom w:val="single" w:sz="6" w:space="0" w:color="000000"/>
              <w:right w:val="single" w:sz="6" w:space="0" w:color="000000"/>
            </w:tcBorders>
            <w:tcMar>
              <w:top w:w="0" w:type="dxa"/>
              <w:left w:w="0" w:type="dxa"/>
              <w:bottom w:w="0" w:type="dxa"/>
              <w:right w:w="0" w:type="dxa"/>
            </w:tcMar>
          </w:tcPr>
          <w:p w:rsidR="007D44AC" w:rsidRDefault="00DD0FA5">
            <w:pPr>
              <w:tabs>
                <w:tab w:val="left" w:pos="1134"/>
              </w:tabs>
              <w:spacing w:after="0" w:line="240" w:lineRule="auto"/>
              <w:jc w:val="center"/>
              <w:rPr>
                <w:rFonts w:ascii="Arial" w:eastAsia="Arial" w:hAnsi="Arial" w:cs="Arial"/>
                <w:sz w:val="24"/>
                <w:szCs w:val="24"/>
              </w:rPr>
            </w:pPr>
            <w:r>
              <w:rPr>
                <w:rFonts w:ascii="Arial" w:eastAsia="Arial" w:hAnsi="Arial" w:cs="Arial"/>
                <w:sz w:val="24"/>
                <w:szCs w:val="24"/>
              </w:rPr>
              <w:lastRenderedPageBreak/>
              <w:t xml:space="preserve">6 </w:t>
            </w:r>
          </w:p>
        </w:tc>
        <w:tc>
          <w:tcPr>
            <w:tcW w:w="1170" w:type="dxa"/>
            <w:tcBorders>
              <w:top w:val="nil"/>
              <w:left w:val="nil"/>
              <w:bottom w:val="single" w:sz="6" w:space="0" w:color="000000"/>
              <w:right w:val="single" w:sz="6" w:space="0" w:color="000000"/>
            </w:tcBorders>
            <w:tcMar>
              <w:top w:w="0" w:type="dxa"/>
              <w:left w:w="0" w:type="dxa"/>
              <w:bottom w:w="0" w:type="dxa"/>
              <w:right w:w="0" w:type="dxa"/>
            </w:tcMar>
          </w:tcPr>
          <w:p w:rsidR="007D44AC" w:rsidRDefault="00DD0FA5">
            <w:pPr>
              <w:tabs>
                <w:tab w:val="left" w:pos="1134"/>
              </w:tabs>
              <w:spacing w:after="0" w:line="240" w:lineRule="auto"/>
              <w:jc w:val="center"/>
              <w:rPr>
                <w:rFonts w:ascii="Arial" w:eastAsia="Arial" w:hAnsi="Arial" w:cs="Arial"/>
                <w:sz w:val="24"/>
                <w:szCs w:val="24"/>
              </w:rPr>
            </w:pPr>
            <w:r>
              <w:rPr>
                <w:rFonts w:ascii="Arial" w:eastAsia="Arial" w:hAnsi="Arial" w:cs="Arial"/>
                <w:sz w:val="24"/>
                <w:szCs w:val="24"/>
              </w:rPr>
              <w:t xml:space="preserve">N/A </w:t>
            </w:r>
          </w:p>
        </w:tc>
        <w:tc>
          <w:tcPr>
            <w:tcW w:w="1125" w:type="dxa"/>
            <w:tcBorders>
              <w:top w:val="nil"/>
              <w:left w:val="nil"/>
              <w:bottom w:val="single" w:sz="6" w:space="0" w:color="000000"/>
              <w:right w:val="single" w:sz="6" w:space="0" w:color="000000"/>
            </w:tcBorders>
            <w:tcMar>
              <w:top w:w="0" w:type="dxa"/>
              <w:left w:w="0" w:type="dxa"/>
              <w:bottom w:w="0" w:type="dxa"/>
              <w:right w:w="0" w:type="dxa"/>
            </w:tcMar>
          </w:tcPr>
          <w:p w:rsidR="007D44AC" w:rsidRDefault="00DD0FA5">
            <w:pPr>
              <w:tabs>
                <w:tab w:val="left" w:pos="1134"/>
              </w:tabs>
              <w:spacing w:after="0" w:line="240" w:lineRule="auto"/>
              <w:jc w:val="center"/>
              <w:rPr>
                <w:rFonts w:ascii="Arial" w:eastAsia="Arial" w:hAnsi="Arial" w:cs="Arial"/>
                <w:sz w:val="24"/>
                <w:szCs w:val="24"/>
              </w:rPr>
            </w:pPr>
            <w:r>
              <w:rPr>
                <w:rFonts w:ascii="Arial" w:eastAsia="Arial" w:hAnsi="Arial" w:cs="Arial"/>
                <w:sz w:val="24"/>
                <w:szCs w:val="24"/>
              </w:rPr>
              <w:t xml:space="preserve">Trainee </w:t>
            </w:r>
          </w:p>
        </w:tc>
        <w:tc>
          <w:tcPr>
            <w:tcW w:w="5400" w:type="dxa"/>
            <w:tcBorders>
              <w:top w:val="nil"/>
              <w:left w:val="nil"/>
              <w:bottom w:val="single" w:sz="6" w:space="0" w:color="000000"/>
              <w:right w:val="single" w:sz="6" w:space="0" w:color="000000"/>
            </w:tcBorders>
            <w:tcMar>
              <w:top w:w="0" w:type="dxa"/>
              <w:left w:w="0" w:type="dxa"/>
              <w:bottom w:w="0" w:type="dxa"/>
              <w:right w:w="0" w:type="dxa"/>
            </w:tcMar>
          </w:tcPr>
          <w:p w:rsidR="007D44AC" w:rsidRDefault="00DD0FA5">
            <w:pPr>
              <w:numPr>
                <w:ilvl w:val="0"/>
                <w:numId w:val="1"/>
              </w:numPr>
              <w:tabs>
                <w:tab w:val="left" w:pos="1134"/>
              </w:tabs>
              <w:spacing w:after="0" w:line="240" w:lineRule="auto"/>
              <w:rPr>
                <w:rFonts w:ascii="Arial" w:eastAsia="Arial" w:hAnsi="Arial" w:cs="Arial"/>
                <w:sz w:val="24"/>
                <w:szCs w:val="24"/>
              </w:rPr>
            </w:pPr>
            <w:r>
              <w:rPr>
                <w:rFonts w:ascii="Arial" w:eastAsia="Arial" w:hAnsi="Arial" w:cs="Arial"/>
                <w:sz w:val="24"/>
                <w:szCs w:val="24"/>
              </w:rPr>
              <w:t>Individuals who are undergoing their legal training contract or equivalent</w:t>
            </w:r>
          </w:p>
          <w:p w:rsidR="007D44AC" w:rsidRDefault="00DD0FA5">
            <w:pPr>
              <w:numPr>
                <w:ilvl w:val="0"/>
                <w:numId w:val="1"/>
              </w:numPr>
              <w:tabs>
                <w:tab w:val="left" w:pos="1134"/>
              </w:tabs>
              <w:spacing w:line="240" w:lineRule="auto"/>
              <w:rPr>
                <w:rFonts w:ascii="Arial" w:eastAsia="Arial" w:hAnsi="Arial" w:cs="Arial"/>
                <w:sz w:val="24"/>
                <w:szCs w:val="24"/>
              </w:rPr>
            </w:pPr>
            <w:r>
              <w:rPr>
                <w:rFonts w:ascii="Arial" w:eastAsia="Arial" w:hAnsi="Arial" w:cs="Arial"/>
                <w:sz w:val="24"/>
                <w:szCs w:val="24"/>
              </w:rPr>
              <w:t>Experience in the relevant field of work or similar is not required</w:t>
            </w:r>
          </w:p>
        </w:tc>
      </w:tr>
      <w:tr w:rsidR="007D44AC">
        <w:trPr>
          <w:trHeight w:val="1185"/>
        </w:trPr>
        <w:tc>
          <w:tcPr>
            <w:tcW w:w="780" w:type="dxa"/>
            <w:tcBorders>
              <w:top w:val="nil"/>
              <w:left w:val="single" w:sz="6" w:space="0" w:color="000000"/>
              <w:bottom w:val="single" w:sz="6" w:space="0" w:color="000000"/>
              <w:right w:val="single" w:sz="6" w:space="0" w:color="000000"/>
            </w:tcBorders>
            <w:tcMar>
              <w:top w:w="0" w:type="dxa"/>
              <w:left w:w="0" w:type="dxa"/>
              <w:bottom w:w="0" w:type="dxa"/>
              <w:right w:w="0" w:type="dxa"/>
            </w:tcMar>
          </w:tcPr>
          <w:p w:rsidR="007D44AC" w:rsidRDefault="00DD0FA5">
            <w:pPr>
              <w:tabs>
                <w:tab w:val="left" w:pos="1134"/>
              </w:tabs>
              <w:spacing w:after="0" w:line="240" w:lineRule="auto"/>
              <w:jc w:val="center"/>
              <w:rPr>
                <w:rFonts w:ascii="Arial" w:eastAsia="Arial" w:hAnsi="Arial" w:cs="Arial"/>
                <w:sz w:val="24"/>
                <w:szCs w:val="24"/>
              </w:rPr>
            </w:pPr>
            <w:r>
              <w:rPr>
                <w:rFonts w:ascii="Arial" w:eastAsia="Arial" w:hAnsi="Arial" w:cs="Arial"/>
                <w:sz w:val="24"/>
                <w:szCs w:val="24"/>
              </w:rPr>
              <w:t xml:space="preserve">7 </w:t>
            </w:r>
          </w:p>
        </w:tc>
        <w:tc>
          <w:tcPr>
            <w:tcW w:w="1170" w:type="dxa"/>
            <w:tcBorders>
              <w:top w:val="nil"/>
              <w:left w:val="nil"/>
              <w:bottom w:val="single" w:sz="6" w:space="0" w:color="000000"/>
              <w:right w:val="single" w:sz="6" w:space="0" w:color="000000"/>
            </w:tcBorders>
            <w:tcMar>
              <w:top w:w="0" w:type="dxa"/>
              <w:left w:w="0" w:type="dxa"/>
              <w:bottom w:w="0" w:type="dxa"/>
              <w:right w:w="0" w:type="dxa"/>
            </w:tcMar>
          </w:tcPr>
          <w:p w:rsidR="007D44AC" w:rsidRDefault="00DD0FA5">
            <w:pPr>
              <w:tabs>
                <w:tab w:val="left" w:pos="1134"/>
              </w:tabs>
              <w:spacing w:after="0" w:line="240" w:lineRule="auto"/>
              <w:jc w:val="center"/>
              <w:rPr>
                <w:rFonts w:ascii="Arial" w:eastAsia="Arial" w:hAnsi="Arial" w:cs="Arial"/>
                <w:sz w:val="24"/>
                <w:szCs w:val="24"/>
              </w:rPr>
            </w:pPr>
            <w:r>
              <w:rPr>
                <w:rFonts w:ascii="Arial" w:eastAsia="Arial" w:hAnsi="Arial" w:cs="Arial"/>
                <w:sz w:val="24"/>
                <w:szCs w:val="24"/>
              </w:rPr>
              <w:t xml:space="preserve">N/A </w:t>
            </w:r>
          </w:p>
        </w:tc>
        <w:tc>
          <w:tcPr>
            <w:tcW w:w="1125" w:type="dxa"/>
            <w:tcBorders>
              <w:top w:val="nil"/>
              <w:left w:val="nil"/>
              <w:bottom w:val="single" w:sz="6" w:space="0" w:color="000000"/>
              <w:right w:val="single" w:sz="6" w:space="0" w:color="000000"/>
            </w:tcBorders>
            <w:tcMar>
              <w:top w:w="0" w:type="dxa"/>
              <w:left w:w="0" w:type="dxa"/>
              <w:bottom w:w="0" w:type="dxa"/>
              <w:right w:w="0" w:type="dxa"/>
            </w:tcMar>
          </w:tcPr>
          <w:p w:rsidR="007D44AC" w:rsidRDefault="00DD0FA5">
            <w:pPr>
              <w:tabs>
                <w:tab w:val="left" w:pos="1134"/>
              </w:tabs>
              <w:spacing w:after="0" w:line="240" w:lineRule="auto"/>
              <w:jc w:val="center"/>
              <w:rPr>
                <w:rFonts w:ascii="Arial" w:eastAsia="Arial" w:hAnsi="Arial" w:cs="Arial"/>
                <w:sz w:val="24"/>
                <w:szCs w:val="24"/>
              </w:rPr>
            </w:pPr>
            <w:r>
              <w:rPr>
                <w:rFonts w:ascii="Arial" w:eastAsia="Arial" w:hAnsi="Arial" w:cs="Arial"/>
                <w:sz w:val="24"/>
                <w:szCs w:val="24"/>
              </w:rPr>
              <w:t xml:space="preserve">Paralegal, Legal Assistant </w:t>
            </w:r>
          </w:p>
        </w:tc>
        <w:tc>
          <w:tcPr>
            <w:tcW w:w="5400" w:type="dxa"/>
            <w:tcBorders>
              <w:top w:val="nil"/>
              <w:left w:val="nil"/>
              <w:bottom w:val="single" w:sz="6" w:space="0" w:color="000000"/>
              <w:right w:val="single" w:sz="6" w:space="0" w:color="000000"/>
            </w:tcBorders>
            <w:tcMar>
              <w:top w:w="0" w:type="dxa"/>
              <w:left w:w="0" w:type="dxa"/>
              <w:bottom w:w="0" w:type="dxa"/>
              <w:right w:w="0" w:type="dxa"/>
            </w:tcMar>
          </w:tcPr>
          <w:p w:rsidR="007D44AC" w:rsidRDefault="00DD0FA5">
            <w:pPr>
              <w:numPr>
                <w:ilvl w:val="0"/>
                <w:numId w:val="3"/>
              </w:numPr>
              <w:tabs>
                <w:tab w:val="left" w:pos="1134"/>
              </w:tabs>
              <w:spacing w:after="0" w:line="240" w:lineRule="auto"/>
              <w:rPr>
                <w:rFonts w:ascii="Arial" w:eastAsia="Arial" w:hAnsi="Arial" w:cs="Arial"/>
                <w:sz w:val="24"/>
                <w:szCs w:val="24"/>
              </w:rPr>
            </w:pPr>
            <w:r>
              <w:rPr>
                <w:rFonts w:ascii="Arial" w:eastAsia="Arial" w:hAnsi="Arial" w:cs="Arial"/>
                <w:sz w:val="24"/>
                <w:szCs w:val="24"/>
              </w:rPr>
              <w:t>Individuals who provide administrative and legal support  </w:t>
            </w:r>
          </w:p>
          <w:p w:rsidR="007D44AC" w:rsidRDefault="00DD0FA5">
            <w:pPr>
              <w:numPr>
                <w:ilvl w:val="0"/>
                <w:numId w:val="3"/>
              </w:numPr>
              <w:tabs>
                <w:tab w:val="left" w:pos="1134"/>
              </w:tabs>
              <w:spacing w:line="240" w:lineRule="auto"/>
              <w:rPr>
                <w:rFonts w:ascii="Arial" w:eastAsia="Arial" w:hAnsi="Arial" w:cs="Arial"/>
                <w:sz w:val="24"/>
                <w:szCs w:val="24"/>
              </w:rPr>
            </w:pPr>
            <w:r>
              <w:rPr>
                <w:rFonts w:ascii="Arial" w:eastAsia="Arial" w:hAnsi="Arial" w:cs="Arial"/>
                <w:sz w:val="24"/>
                <w:szCs w:val="24"/>
              </w:rPr>
              <w:t>Experience in the relevant field of work or similar is not required</w:t>
            </w:r>
          </w:p>
        </w:tc>
      </w:tr>
    </w:tbl>
    <w:p w:rsidR="007D44AC" w:rsidRDefault="00DD0FA5">
      <w:pPr>
        <w:shd w:val="clear" w:color="auto" w:fill="FFFFFF"/>
        <w:tabs>
          <w:tab w:val="left" w:pos="1134"/>
        </w:tabs>
        <w:spacing w:line="240" w:lineRule="auto"/>
        <w:ind w:left="820" w:right="120"/>
        <w:jc w:val="both"/>
        <w:rPr>
          <w:rFonts w:ascii="Arial" w:eastAsia="Arial" w:hAnsi="Arial" w:cs="Arial"/>
          <w:sz w:val="24"/>
          <w:szCs w:val="24"/>
        </w:rPr>
      </w:pPr>
      <w:r>
        <w:rPr>
          <w:rFonts w:ascii="Arial" w:eastAsia="Arial" w:hAnsi="Arial" w:cs="Arial"/>
          <w:sz w:val="24"/>
          <w:szCs w:val="24"/>
        </w:rPr>
        <w:t xml:space="preserve"> </w:t>
      </w:r>
    </w:p>
    <w:p w:rsidR="007D44AC" w:rsidRDefault="00DD0FA5">
      <w:pPr>
        <w:numPr>
          <w:ilvl w:val="2"/>
          <w:numId w:val="5"/>
        </w:numPr>
        <w:tabs>
          <w:tab w:val="left" w:pos="1134"/>
        </w:tabs>
        <w:spacing w:line="240" w:lineRule="auto"/>
        <w:rPr>
          <w:sz w:val="24"/>
          <w:szCs w:val="24"/>
        </w:rPr>
      </w:pPr>
      <w:r>
        <w:rPr>
          <w:rFonts w:ascii="Arial" w:eastAsia="Arial" w:hAnsi="Arial" w:cs="Arial"/>
          <w:sz w:val="24"/>
          <w:szCs w:val="24"/>
        </w:rPr>
        <w:t>The Supplier must ensure that Supplier Personnel respond flexibly and within agreed timescales set by the Authority and/or Buyers in response to requests, including changes to planned work.</w:t>
      </w:r>
    </w:p>
    <w:p w:rsidR="007D44AC" w:rsidRDefault="00537960">
      <w:pPr>
        <w:numPr>
          <w:ilvl w:val="1"/>
          <w:numId w:val="5"/>
        </w:numPr>
        <w:tabs>
          <w:tab w:val="left" w:pos="1134"/>
        </w:tabs>
        <w:spacing w:line="240" w:lineRule="auto"/>
        <w:rPr>
          <w:sz w:val="24"/>
          <w:szCs w:val="24"/>
        </w:rPr>
      </w:pPr>
      <w:r>
        <w:rPr>
          <w:rFonts w:ascii="Arial" w:eastAsia="Arial" w:hAnsi="Arial" w:cs="Arial"/>
          <w:b/>
          <w:sz w:val="24"/>
          <w:szCs w:val="24"/>
        </w:rPr>
        <w:t>Supplier’s C</w:t>
      </w:r>
      <w:r w:rsidR="00DD0FA5">
        <w:rPr>
          <w:rFonts w:ascii="Arial" w:eastAsia="Arial" w:hAnsi="Arial" w:cs="Arial"/>
          <w:b/>
          <w:sz w:val="24"/>
          <w:szCs w:val="24"/>
        </w:rPr>
        <w:t xml:space="preserve">ommitment to the Framework </w:t>
      </w:r>
    </w:p>
    <w:p w:rsidR="007D44AC" w:rsidRDefault="00DD0FA5">
      <w:pPr>
        <w:numPr>
          <w:ilvl w:val="2"/>
          <w:numId w:val="5"/>
        </w:numPr>
        <w:tabs>
          <w:tab w:val="left" w:pos="1134"/>
        </w:tabs>
        <w:spacing w:line="240" w:lineRule="auto"/>
        <w:rPr>
          <w:sz w:val="24"/>
          <w:szCs w:val="24"/>
        </w:rPr>
      </w:pPr>
      <w:r>
        <w:rPr>
          <w:rFonts w:ascii="Arial" w:eastAsia="Arial" w:hAnsi="Arial" w:cs="Arial"/>
          <w:sz w:val="24"/>
          <w:szCs w:val="24"/>
        </w:rPr>
        <w:t>The Supplier must maintain a commitment to Central Government legal work and to the Framework. Such commitment requires that the Supplier takes reasonable steps to ensure that the Supplier has, at all relevant times during the Framework Period, a reasonable level of resources available for servicing Orders, including availability of the Key Personnel.</w:t>
      </w:r>
    </w:p>
    <w:p w:rsidR="007D44AC" w:rsidRDefault="00DD0FA5">
      <w:pPr>
        <w:numPr>
          <w:ilvl w:val="1"/>
          <w:numId w:val="5"/>
        </w:numPr>
        <w:tabs>
          <w:tab w:val="left" w:pos="1134"/>
        </w:tabs>
        <w:spacing w:line="240" w:lineRule="auto"/>
        <w:rPr>
          <w:sz w:val="24"/>
          <w:szCs w:val="24"/>
        </w:rPr>
      </w:pPr>
      <w:r>
        <w:rPr>
          <w:rFonts w:ascii="Arial" w:eastAsia="Arial" w:hAnsi="Arial" w:cs="Arial"/>
          <w:b/>
          <w:sz w:val="24"/>
          <w:szCs w:val="24"/>
        </w:rPr>
        <w:t xml:space="preserve">Framework Services Requirement </w:t>
      </w:r>
    </w:p>
    <w:p w:rsidR="007D44AC" w:rsidRDefault="00DD0FA5">
      <w:pPr>
        <w:numPr>
          <w:ilvl w:val="2"/>
          <w:numId w:val="5"/>
        </w:numPr>
        <w:tabs>
          <w:tab w:val="left" w:pos="1134"/>
        </w:tabs>
        <w:spacing w:line="240" w:lineRule="auto"/>
        <w:rPr>
          <w:sz w:val="24"/>
          <w:szCs w:val="24"/>
        </w:rPr>
      </w:pPr>
      <w:r>
        <w:rPr>
          <w:rFonts w:ascii="Arial" w:eastAsia="Arial" w:hAnsi="Arial" w:cs="Arial"/>
          <w:sz w:val="24"/>
          <w:szCs w:val="24"/>
        </w:rPr>
        <w:t>The Supplier must ensure that it (and the relevant Supplier Personnel) has (or have) at all relevant times, the skills, qualifications and capability to provide legal advice and support to the Authority and/or the Buyer(s) in relation to the types of legal services and areas of legal practice set out in this Specification where it is indicated that it had that capability to do so in accordance with their Tender Response.</w:t>
      </w:r>
    </w:p>
    <w:p w:rsidR="007D44AC" w:rsidRDefault="00DD0FA5">
      <w:pPr>
        <w:numPr>
          <w:ilvl w:val="2"/>
          <w:numId w:val="5"/>
        </w:numPr>
        <w:tabs>
          <w:tab w:val="left" w:pos="1134"/>
        </w:tabs>
        <w:spacing w:line="240" w:lineRule="auto"/>
        <w:rPr>
          <w:sz w:val="24"/>
          <w:szCs w:val="24"/>
        </w:rPr>
      </w:pPr>
      <w:r>
        <w:rPr>
          <w:rFonts w:ascii="Arial" w:eastAsia="Arial" w:hAnsi="Arial" w:cs="Arial"/>
          <w:sz w:val="24"/>
          <w:szCs w:val="24"/>
        </w:rPr>
        <w:t xml:space="preserve">The Supplier shall make the Mandatory Specialisms and those Optional Specialisms, where it indicated that it had that capability to do so in accordance with their Tender Response, available to Buyers to Order throughout the Framework Period, in accordance with the Framework Contract. </w:t>
      </w:r>
    </w:p>
    <w:p w:rsidR="007D44AC" w:rsidRDefault="00DD0FA5">
      <w:pPr>
        <w:numPr>
          <w:ilvl w:val="1"/>
          <w:numId w:val="5"/>
        </w:numPr>
        <w:tabs>
          <w:tab w:val="left" w:pos="1134"/>
        </w:tabs>
        <w:spacing w:line="240" w:lineRule="auto"/>
        <w:rPr>
          <w:sz w:val="24"/>
          <w:szCs w:val="24"/>
        </w:rPr>
      </w:pPr>
      <w:r>
        <w:rPr>
          <w:rFonts w:ascii="Arial" w:eastAsia="Arial" w:hAnsi="Arial" w:cs="Arial"/>
          <w:b/>
          <w:sz w:val="24"/>
          <w:szCs w:val="24"/>
        </w:rPr>
        <w:t xml:space="preserve">Delivery Of The Services </w:t>
      </w:r>
    </w:p>
    <w:p w:rsidR="007D44AC" w:rsidRDefault="00DD0FA5">
      <w:pPr>
        <w:numPr>
          <w:ilvl w:val="2"/>
          <w:numId w:val="5"/>
        </w:numPr>
        <w:tabs>
          <w:tab w:val="left" w:pos="1134"/>
        </w:tabs>
        <w:spacing w:line="240" w:lineRule="auto"/>
        <w:rPr>
          <w:sz w:val="24"/>
          <w:szCs w:val="24"/>
        </w:rPr>
      </w:pPr>
      <w:r>
        <w:rPr>
          <w:rFonts w:ascii="Arial" w:eastAsia="Arial" w:hAnsi="Arial" w:cs="Arial"/>
          <w:sz w:val="24"/>
          <w:szCs w:val="24"/>
        </w:rPr>
        <w:t xml:space="preserve">In providing the Services, the Parties must work together to apply the general principles to each Order procured and commenced under this Framework Contract, to include but not limited to the following: </w:t>
      </w:r>
    </w:p>
    <w:p w:rsidR="007D44AC" w:rsidRDefault="00DD0FA5">
      <w:pPr>
        <w:numPr>
          <w:ilvl w:val="3"/>
          <w:numId w:val="5"/>
        </w:numPr>
        <w:tabs>
          <w:tab w:val="left" w:pos="1134"/>
        </w:tabs>
        <w:spacing w:line="240" w:lineRule="auto"/>
        <w:rPr>
          <w:sz w:val="24"/>
          <w:szCs w:val="24"/>
        </w:rPr>
      </w:pPr>
      <w:r>
        <w:rPr>
          <w:rFonts w:ascii="Arial" w:eastAsia="Arial" w:hAnsi="Arial" w:cs="Arial"/>
          <w:sz w:val="24"/>
          <w:szCs w:val="24"/>
        </w:rPr>
        <w:t xml:space="preserve">Early Supplier involvement – to improve understanding and deliverability of requirements, the Buyer will, wherever practical, ensure that early market engagement on the provision of Services is carried out; </w:t>
      </w:r>
    </w:p>
    <w:p w:rsidR="007D44AC" w:rsidRDefault="00DD0FA5">
      <w:pPr>
        <w:numPr>
          <w:ilvl w:val="3"/>
          <w:numId w:val="5"/>
        </w:numPr>
        <w:tabs>
          <w:tab w:val="left" w:pos="1134"/>
        </w:tabs>
        <w:spacing w:line="240" w:lineRule="auto"/>
        <w:rPr>
          <w:sz w:val="24"/>
          <w:szCs w:val="24"/>
        </w:rPr>
      </w:pPr>
      <w:r>
        <w:rPr>
          <w:rFonts w:ascii="Arial" w:eastAsia="Arial" w:hAnsi="Arial" w:cs="Arial"/>
          <w:sz w:val="24"/>
          <w:szCs w:val="24"/>
        </w:rPr>
        <w:lastRenderedPageBreak/>
        <w:t xml:space="preserve">Knowledge transfer – promoting and facilitating the transfer of skills and knowledge between the Parties, and the sharing of information and the development of broader best practice initiatives within any relevant industry; </w:t>
      </w:r>
    </w:p>
    <w:p w:rsidR="007D44AC" w:rsidRDefault="00DD0FA5">
      <w:pPr>
        <w:numPr>
          <w:ilvl w:val="3"/>
          <w:numId w:val="5"/>
        </w:numPr>
        <w:tabs>
          <w:tab w:val="left" w:pos="1134"/>
        </w:tabs>
        <w:spacing w:line="240" w:lineRule="auto"/>
        <w:rPr>
          <w:sz w:val="24"/>
          <w:szCs w:val="24"/>
        </w:rPr>
      </w:pPr>
      <w:r>
        <w:rPr>
          <w:rFonts w:ascii="Arial" w:eastAsia="Arial" w:hAnsi="Arial" w:cs="Arial"/>
          <w:sz w:val="24"/>
          <w:szCs w:val="24"/>
        </w:rPr>
        <w:t>Customer Relationship Management and Supplier Relationship Management (CRM/SRM) - entails creating collaborative relationships in order to uncover and realise value and reduce risk of failure between the Buyer and the Supplier;</w:t>
      </w:r>
    </w:p>
    <w:p w:rsidR="007D44AC" w:rsidRDefault="00DD0FA5">
      <w:pPr>
        <w:numPr>
          <w:ilvl w:val="3"/>
          <w:numId w:val="5"/>
        </w:numPr>
        <w:tabs>
          <w:tab w:val="left" w:pos="1134"/>
        </w:tabs>
        <w:spacing w:line="240" w:lineRule="auto"/>
        <w:rPr>
          <w:sz w:val="24"/>
          <w:szCs w:val="24"/>
        </w:rPr>
      </w:pPr>
      <w:r>
        <w:rPr>
          <w:rFonts w:ascii="Arial" w:eastAsia="Arial" w:hAnsi="Arial" w:cs="Arial"/>
          <w:sz w:val="24"/>
          <w:szCs w:val="24"/>
        </w:rPr>
        <w:t xml:space="preserve">Innovation – to encourage the development and sharing of innovative solutions, processes and approaches that improve performance and Value for Money (VfM), including technological innovations. </w:t>
      </w:r>
    </w:p>
    <w:p w:rsidR="007D44AC" w:rsidRDefault="00DD0FA5">
      <w:pPr>
        <w:numPr>
          <w:ilvl w:val="3"/>
          <w:numId w:val="5"/>
        </w:numPr>
        <w:tabs>
          <w:tab w:val="left" w:pos="1134"/>
        </w:tabs>
        <w:spacing w:line="240" w:lineRule="auto"/>
        <w:rPr>
          <w:sz w:val="24"/>
          <w:szCs w:val="24"/>
        </w:rPr>
      </w:pPr>
      <w:r>
        <w:rPr>
          <w:rFonts w:ascii="Arial" w:eastAsia="Arial" w:hAnsi="Arial" w:cs="Arial"/>
          <w:sz w:val="24"/>
          <w:szCs w:val="24"/>
        </w:rPr>
        <w:t>Collaboration – to ensure that behaviours and cultures enable optimal ‘one team’ working relationships, seamless integration and cooper</w:t>
      </w:r>
      <w:r w:rsidR="00537960">
        <w:rPr>
          <w:rFonts w:ascii="Arial" w:eastAsia="Arial" w:hAnsi="Arial" w:cs="Arial"/>
          <w:sz w:val="24"/>
          <w:szCs w:val="24"/>
        </w:rPr>
        <w:t>ation between Buyer teams,</w:t>
      </w:r>
      <w:r>
        <w:rPr>
          <w:rFonts w:ascii="Arial" w:eastAsia="Arial" w:hAnsi="Arial" w:cs="Arial"/>
          <w:sz w:val="24"/>
          <w:szCs w:val="24"/>
        </w:rPr>
        <w:t xml:space="preserve"> the Suppliers appointed to the Framework </w:t>
      </w:r>
      <w:r w:rsidR="00537960">
        <w:rPr>
          <w:rFonts w:ascii="Arial" w:eastAsia="Arial" w:hAnsi="Arial" w:cs="Arial"/>
          <w:sz w:val="24"/>
          <w:szCs w:val="24"/>
        </w:rPr>
        <w:t xml:space="preserve">and Subcontractors (where applicable) </w:t>
      </w:r>
      <w:r>
        <w:rPr>
          <w:rFonts w:ascii="Arial" w:eastAsia="Arial" w:hAnsi="Arial" w:cs="Arial"/>
          <w:sz w:val="24"/>
          <w:szCs w:val="24"/>
        </w:rPr>
        <w:t>in preparing, planning and delivering the Orders</w:t>
      </w:r>
      <w:r w:rsidR="00537960">
        <w:rPr>
          <w:rFonts w:ascii="Arial" w:eastAsia="Arial" w:hAnsi="Arial" w:cs="Arial"/>
          <w:sz w:val="24"/>
          <w:szCs w:val="24"/>
        </w:rPr>
        <w:t>.</w:t>
      </w:r>
      <w:r>
        <w:rPr>
          <w:rFonts w:ascii="Arial" w:eastAsia="Arial" w:hAnsi="Arial" w:cs="Arial"/>
          <w:sz w:val="24"/>
          <w:szCs w:val="24"/>
        </w:rPr>
        <w:t xml:space="preserve"> </w:t>
      </w:r>
    </w:p>
    <w:p w:rsidR="007D44AC" w:rsidRDefault="00DD0FA5">
      <w:pPr>
        <w:numPr>
          <w:ilvl w:val="3"/>
          <w:numId w:val="5"/>
        </w:numPr>
        <w:tabs>
          <w:tab w:val="left" w:pos="1134"/>
        </w:tabs>
        <w:spacing w:line="240" w:lineRule="auto"/>
        <w:rPr>
          <w:sz w:val="24"/>
          <w:szCs w:val="24"/>
        </w:rPr>
      </w:pPr>
      <w:r>
        <w:rPr>
          <w:rFonts w:ascii="Arial" w:eastAsia="Arial" w:hAnsi="Arial" w:cs="Arial"/>
          <w:sz w:val="24"/>
          <w:szCs w:val="24"/>
        </w:rPr>
        <w:t xml:space="preserve">Time Zone flexibility – both Parties must ensure they take a flexible approach to the delivery of services to account for working differences due to varied time zones. </w:t>
      </w:r>
    </w:p>
    <w:p w:rsidR="007D44AC" w:rsidRDefault="00DD0FA5">
      <w:pPr>
        <w:numPr>
          <w:ilvl w:val="4"/>
          <w:numId w:val="5"/>
        </w:numPr>
        <w:tabs>
          <w:tab w:val="left" w:pos="1134"/>
        </w:tabs>
        <w:spacing w:line="240" w:lineRule="auto"/>
        <w:rPr>
          <w:sz w:val="24"/>
          <w:szCs w:val="24"/>
        </w:rPr>
      </w:pPr>
      <w:r>
        <w:rPr>
          <w:rFonts w:ascii="Arial" w:eastAsia="Arial" w:hAnsi="Arial" w:cs="Arial"/>
          <w:sz w:val="24"/>
          <w:szCs w:val="24"/>
        </w:rPr>
        <w:t xml:space="preserve">Suppliers must be able to make themselves available during UK time zone working hours (typically between 08:00 and 18:00 UTC/UTC+1) and must be responsive to time-pressured queries.  </w:t>
      </w:r>
    </w:p>
    <w:p w:rsidR="007D44AC" w:rsidRDefault="00DD0FA5">
      <w:pPr>
        <w:numPr>
          <w:ilvl w:val="4"/>
          <w:numId w:val="5"/>
        </w:numPr>
        <w:tabs>
          <w:tab w:val="left" w:pos="1134"/>
        </w:tabs>
        <w:spacing w:line="240" w:lineRule="auto"/>
        <w:rPr>
          <w:sz w:val="24"/>
          <w:szCs w:val="24"/>
        </w:rPr>
      </w:pPr>
      <w:r>
        <w:rPr>
          <w:rFonts w:ascii="Arial" w:eastAsia="Arial" w:hAnsi="Arial" w:cs="Arial"/>
          <w:sz w:val="24"/>
          <w:szCs w:val="24"/>
        </w:rPr>
        <w:t>Suppliers will not be required to have a UK office or established presence.</w:t>
      </w:r>
    </w:p>
    <w:p w:rsidR="007D44AC" w:rsidRDefault="00DD0FA5">
      <w:pPr>
        <w:numPr>
          <w:ilvl w:val="3"/>
          <w:numId w:val="5"/>
        </w:numPr>
        <w:tabs>
          <w:tab w:val="left" w:pos="1134"/>
        </w:tabs>
        <w:spacing w:line="240" w:lineRule="auto"/>
        <w:rPr>
          <w:rFonts w:ascii="Arial" w:eastAsia="Arial" w:hAnsi="Arial" w:cs="Arial"/>
          <w:sz w:val="24"/>
          <w:szCs w:val="24"/>
        </w:rPr>
      </w:pPr>
      <w:r>
        <w:rPr>
          <w:rFonts w:ascii="Arial" w:eastAsia="Arial" w:hAnsi="Arial" w:cs="Arial"/>
          <w:sz w:val="24"/>
          <w:szCs w:val="24"/>
        </w:rPr>
        <w:t>Continuous Improvement - to improve services through the life of the Framework, through the sharing and implementation of best practice within the industry, and lessons learnt.</w:t>
      </w:r>
    </w:p>
    <w:p w:rsidR="007D44AC" w:rsidRDefault="00DD0FA5">
      <w:pPr>
        <w:numPr>
          <w:ilvl w:val="1"/>
          <w:numId w:val="5"/>
        </w:numPr>
        <w:tabs>
          <w:tab w:val="left" w:pos="1134"/>
        </w:tabs>
        <w:spacing w:line="240" w:lineRule="auto"/>
        <w:rPr>
          <w:sz w:val="24"/>
          <w:szCs w:val="24"/>
        </w:rPr>
      </w:pPr>
      <w:r>
        <w:rPr>
          <w:rFonts w:ascii="Arial" w:eastAsia="Arial" w:hAnsi="Arial" w:cs="Arial"/>
          <w:b/>
          <w:sz w:val="24"/>
          <w:szCs w:val="24"/>
        </w:rPr>
        <w:t xml:space="preserve">Management of External Legal Resources </w:t>
      </w:r>
    </w:p>
    <w:p w:rsidR="007D44AC" w:rsidRDefault="00DD0FA5">
      <w:pPr>
        <w:numPr>
          <w:ilvl w:val="2"/>
          <w:numId w:val="5"/>
        </w:numPr>
        <w:tabs>
          <w:tab w:val="left" w:pos="1134"/>
        </w:tabs>
        <w:spacing w:line="240" w:lineRule="auto"/>
        <w:rPr>
          <w:sz w:val="24"/>
          <w:szCs w:val="24"/>
        </w:rPr>
      </w:pPr>
      <w:r>
        <w:rPr>
          <w:rFonts w:ascii="Arial" w:eastAsia="Arial" w:hAnsi="Arial" w:cs="Arial"/>
          <w:sz w:val="24"/>
          <w:szCs w:val="24"/>
        </w:rPr>
        <w:t>The Supplier must, when operating as part of a Group of Economic Operators (a group of economic operators or ‘consortium’ acting jointly and severally to provide the Services)</w:t>
      </w:r>
      <w:r w:rsidR="00537960">
        <w:rPr>
          <w:rFonts w:ascii="Arial" w:eastAsia="Arial" w:hAnsi="Arial" w:cs="Arial"/>
          <w:sz w:val="24"/>
          <w:szCs w:val="24"/>
        </w:rPr>
        <w:t xml:space="preserve"> </w:t>
      </w:r>
      <w:r>
        <w:rPr>
          <w:rFonts w:ascii="Arial" w:eastAsia="Arial" w:hAnsi="Arial" w:cs="Arial"/>
          <w:sz w:val="24"/>
          <w:szCs w:val="24"/>
        </w:rPr>
        <w:t xml:space="preserve">and/or using Subcontractors, ensure that they manage the external resource to ensure: </w:t>
      </w:r>
    </w:p>
    <w:p w:rsidR="007D44AC" w:rsidRDefault="00DD0FA5">
      <w:pPr>
        <w:numPr>
          <w:ilvl w:val="3"/>
          <w:numId w:val="5"/>
        </w:numPr>
        <w:tabs>
          <w:tab w:val="left" w:pos="1134"/>
        </w:tabs>
        <w:spacing w:line="240" w:lineRule="auto"/>
        <w:rPr>
          <w:sz w:val="24"/>
          <w:szCs w:val="24"/>
        </w:rPr>
      </w:pPr>
      <w:r>
        <w:rPr>
          <w:rFonts w:ascii="Arial" w:eastAsia="Arial" w:hAnsi="Arial" w:cs="Arial"/>
          <w:sz w:val="24"/>
          <w:szCs w:val="24"/>
        </w:rPr>
        <w:t xml:space="preserve">appropriately skilled and expert legal resource is mobilised within the timeline stipulated by the Buyer; </w:t>
      </w:r>
    </w:p>
    <w:p w:rsidR="007D44AC" w:rsidRDefault="00DD0FA5">
      <w:pPr>
        <w:numPr>
          <w:ilvl w:val="3"/>
          <w:numId w:val="5"/>
        </w:numPr>
        <w:tabs>
          <w:tab w:val="left" w:pos="1134"/>
        </w:tabs>
        <w:spacing w:line="240" w:lineRule="auto"/>
        <w:rPr>
          <w:sz w:val="24"/>
          <w:szCs w:val="24"/>
        </w:rPr>
      </w:pPr>
      <w:r>
        <w:rPr>
          <w:rFonts w:ascii="Arial" w:eastAsia="Arial" w:hAnsi="Arial" w:cs="Arial"/>
          <w:sz w:val="24"/>
          <w:szCs w:val="24"/>
        </w:rPr>
        <w:t xml:space="preserve">teams work collaboratively and cohesively; </w:t>
      </w:r>
    </w:p>
    <w:p w:rsidR="007D44AC" w:rsidRDefault="00DD0FA5">
      <w:pPr>
        <w:numPr>
          <w:ilvl w:val="3"/>
          <w:numId w:val="5"/>
        </w:numPr>
        <w:tabs>
          <w:tab w:val="left" w:pos="1134"/>
        </w:tabs>
        <w:spacing w:line="240" w:lineRule="auto"/>
        <w:rPr>
          <w:sz w:val="24"/>
          <w:szCs w:val="24"/>
        </w:rPr>
      </w:pPr>
      <w:r>
        <w:rPr>
          <w:rFonts w:ascii="Arial" w:eastAsia="Arial" w:hAnsi="Arial" w:cs="Arial"/>
          <w:sz w:val="24"/>
          <w:szCs w:val="24"/>
        </w:rPr>
        <w:lastRenderedPageBreak/>
        <w:t xml:space="preserve">knowledge transfer throughout delivery of the Services is seamless, to ensure timely delivery of the Services and to minimise costs; </w:t>
      </w:r>
    </w:p>
    <w:p w:rsidR="007D44AC" w:rsidRDefault="00DD0FA5">
      <w:pPr>
        <w:numPr>
          <w:ilvl w:val="3"/>
          <w:numId w:val="5"/>
        </w:numPr>
        <w:tabs>
          <w:tab w:val="left" w:pos="1134"/>
        </w:tabs>
        <w:spacing w:line="240" w:lineRule="auto"/>
        <w:rPr>
          <w:sz w:val="24"/>
          <w:szCs w:val="24"/>
        </w:rPr>
      </w:pPr>
      <w:r>
        <w:rPr>
          <w:rFonts w:ascii="Arial" w:eastAsia="Arial" w:hAnsi="Arial" w:cs="Arial"/>
          <w:sz w:val="24"/>
          <w:szCs w:val="24"/>
        </w:rPr>
        <w:t xml:space="preserve">legal advice provided is accurate, consistent and practical; </w:t>
      </w:r>
    </w:p>
    <w:p w:rsidR="007D44AC" w:rsidRDefault="00DD0FA5">
      <w:pPr>
        <w:numPr>
          <w:ilvl w:val="3"/>
          <w:numId w:val="5"/>
        </w:numPr>
        <w:tabs>
          <w:tab w:val="left" w:pos="1134"/>
        </w:tabs>
        <w:spacing w:line="240" w:lineRule="auto"/>
        <w:rPr>
          <w:sz w:val="24"/>
          <w:szCs w:val="24"/>
        </w:rPr>
      </w:pPr>
      <w:r>
        <w:rPr>
          <w:rFonts w:ascii="Arial" w:eastAsia="Arial" w:hAnsi="Arial" w:cs="Arial"/>
          <w:sz w:val="24"/>
          <w:szCs w:val="24"/>
        </w:rPr>
        <w:t xml:space="preserve">the resource cost is reasonable and proportionate to the complexity of advice and levels of expertise required. </w:t>
      </w:r>
    </w:p>
    <w:p w:rsidR="007D44AC" w:rsidRPr="00CE5D07" w:rsidRDefault="00DD0FA5">
      <w:pPr>
        <w:numPr>
          <w:ilvl w:val="2"/>
          <w:numId w:val="5"/>
        </w:numPr>
        <w:tabs>
          <w:tab w:val="left" w:pos="1134"/>
        </w:tabs>
        <w:spacing w:line="240" w:lineRule="auto"/>
        <w:rPr>
          <w:rFonts w:ascii="Arial" w:eastAsia="Arial" w:hAnsi="Arial" w:cs="Arial"/>
          <w:sz w:val="24"/>
          <w:szCs w:val="24"/>
        </w:rPr>
      </w:pPr>
      <w:r w:rsidRPr="00CE5D07">
        <w:rPr>
          <w:rFonts w:ascii="Arial" w:eastAsia="Arial" w:hAnsi="Arial" w:cs="Arial"/>
          <w:sz w:val="24"/>
          <w:szCs w:val="24"/>
        </w:rPr>
        <w:t>In the following limited circumstances, the Supplier may use a Subcontractor charging above maximum framework rates</w:t>
      </w:r>
      <w:r w:rsidR="00083B4E" w:rsidRPr="00CE5D07">
        <w:rPr>
          <w:rFonts w:ascii="Arial" w:eastAsia="Arial" w:hAnsi="Arial" w:cs="Arial"/>
          <w:sz w:val="24"/>
          <w:szCs w:val="24"/>
        </w:rPr>
        <w:t xml:space="preserve"> to be agreed by the Buyer </w:t>
      </w:r>
      <w:r w:rsidR="007E1E77" w:rsidRPr="00CE5D07">
        <w:rPr>
          <w:rFonts w:ascii="Arial" w:eastAsia="Arial" w:hAnsi="Arial" w:cs="Arial"/>
          <w:sz w:val="24"/>
          <w:szCs w:val="24"/>
        </w:rPr>
        <w:t>in accordance with Joint Schedule 6 (Key Subcontractors)</w:t>
      </w:r>
      <w:r w:rsidRPr="00CE5D07">
        <w:rPr>
          <w:rFonts w:ascii="Arial" w:eastAsia="Arial" w:hAnsi="Arial" w:cs="Arial"/>
          <w:sz w:val="24"/>
          <w:szCs w:val="24"/>
        </w:rPr>
        <w:t>:</w:t>
      </w:r>
    </w:p>
    <w:p w:rsidR="007D44AC" w:rsidRPr="00CE5D07" w:rsidRDefault="000A5463">
      <w:pPr>
        <w:numPr>
          <w:ilvl w:val="3"/>
          <w:numId w:val="5"/>
        </w:numPr>
        <w:tabs>
          <w:tab w:val="left" w:pos="1134"/>
        </w:tabs>
        <w:spacing w:line="240" w:lineRule="auto"/>
        <w:rPr>
          <w:rFonts w:ascii="Arial" w:eastAsia="Arial" w:hAnsi="Arial" w:cs="Arial"/>
          <w:sz w:val="24"/>
          <w:szCs w:val="24"/>
        </w:rPr>
      </w:pPr>
      <w:r w:rsidRPr="00CE5D07">
        <w:rPr>
          <w:rFonts w:ascii="Arial" w:eastAsia="Arial" w:hAnsi="Arial" w:cs="Arial"/>
          <w:sz w:val="24"/>
          <w:szCs w:val="24"/>
        </w:rPr>
        <w:t>Where the S</w:t>
      </w:r>
      <w:r w:rsidR="00DD0FA5" w:rsidRPr="00CE5D07">
        <w:rPr>
          <w:rFonts w:ascii="Arial" w:eastAsia="Arial" w:hAnsi="Arial" w:cs="Arial"/>
          <w:sz w:val="24"/>
          <w:szCs w:val="24"/>
        </w:rPr>
        <w:t>ubcontractor is advising</w:t>
      </w:r>
      <w:r w:rsidRPr="00CE5D07">
        <w:rPr>
          <w:rFonts w:ascii="Arial" w:eastAsia="Arial" w:hAnsi="Arial" w:cs="Arial"/>
          <w:sz w:val="24"/>
          <w:szCs w:val="24"/>
        </w:rPr>
        <w:t xml:space="preserve"> on a jurisdiction or Optional S</w:t>
      </w:r>
      <w:r w:rsidR="00DD0FA5" w:rsidRPr="00CE5D07">
        <w:rPr>
          <w:rFonts w:ascii="Arial" w:eastAsia="Arial" w:hAnsi="Arial" w:cs="Arial"/>
          <w:sz w:val="24"/>
          <w:szCs w:val="24"/>
        </w:rPr>
        <w:t>pecialism not provided by the Supplier or any key named Subcontractors or members of the Group of Economic Operators in the Framework Tender Response; and</w:t>
      </w:r>
    </w:p>
    <w:p w:rsidR="007D44AC" w:rsidRPr="00CE5D07" w:rsidRDefault="00DD0FA5">
      <w:pPr>
        <w:numPr>
          <w:ilvl w:val="3"/>
          <w:numId w:val="5"/>
        </w:numPr>
        <w:tabs>
          <w:tab w:val="left" w:pos="1134"/>
        </w:tabs>
        <w:spacing w:line="240" w:lineRule="auto"/>
        <w:rPr>
          <w:rFonts w:ascii="Arial" w:eastAsia="Arial" w:hAnsi="Arial" w:cs="Arial"/>
          <w:sz w:val="24"/>
          <w:szCs w:val="24"/>
        </w:rPr>
      </w:pPr>
      <w:r w:rsidRPr="00CE5D07">
        <w:rPr>
          <w:rFonts w:ascii="Arial" w:eastAsia="Arial" w:hAnsi="Arial" w:cs="Arial"/>
          <w:sz w:val="24"/>
          <w:szCs w:val="24"/>
        </w:rPr>
        <w:t>The Supplier demonstrates through the provision of supporting evidence such as Open Book Data that this is an accurate reflection of the Charges and that no mark-up or additional margin has been added.</w:t>
      </w:r>
    </w:p>
    <w:p w:rsidR="007D44AC" w:rsidRDefault="00DD0FA5">
      <w:pPr>
        <w:numPr>
          <w:ilvl w:val="3"/>
          <w:numId w:val="5"/>
        </w:numPr>
        <w:tabs>
          <w:tab w:val="left" w:pos="1134"/>
        </w:tabs>
        <w:spacing w:line="240" w:lineRule="auto"/>
        <w:rPr>
          <w:rFonts w:ascii="Arial" w:eastAsia="Arial" w:hAnsi="Arial" w:cs="Arial"/>
          <w:sz w:val="24"/>
          <w:szCs w:val="24"/>
        </w:rPr>
      </w:pPr>
      <w:r>
        <w:rPr>
          <w:rFonts w:ascii="Arial" w:eastAsia="Arial" w:hAnsi="Arial" w:cs="Arial"/>
          <w:sz w:val="24"/>
          <w:szCs w:val="24"/>
        </w:rPr>
        <w:t>The Supplier must ensure that it has complied with the provisions in 6.6.1 of this Specification, and negotiates rates where possible to ensure value for money for the Buyer.</w:t>
      </w:r>
    </w:p>
    <w:p w:rsidR="007D44AC" w:rsidRDefault="00DD0FA5">
      <w:pPr>
        <w:numPr>
          <w:ilvl w:val="1"/>
          <w:numId w:val="5"/>
        </w:numPr>
        <w:tabs>
          <w:tab w:val="left" w:pos="1134"/>
        </w:tabs>
        <w:spacing w:line="240" w:lineRule="auto"/>
        <w:rPr>
          <w:sz w:val="24"/>
          <w:szCs w:val="24"/>
        </w:rPr>
      </w:pPr>
      <w:r>
        <w:rPr>
          <w:rFonts w:ascii="Arial" w:eastAsia="Arial" w:hAnsi="Arial" w:cs="Arial"/>
          <w:b/>
          <w:sz w:val="24"/>
          <w:szCs w:val="24"/>
        </w:rPr>
        <w:t xml:space="preserve">Legal Quality Principles </w:t>
      </w:r>
    </w:p>
    <w:p w:rsidR="007D44AC" w:rsidRDefault="00DD0FA5">
      <w:pPr>
        <w:numPr>
          <w:ilvl w:val="2"/>
          <w:numId w:val="5"/>
        </w:numPr>
        <w:tabs>
          <w:tab w:val="left" w:pos="1134"/>
        </w:tabs>
        <w:spacing w:line="240" w:lineRule="auto"/>
        <w:rPr>
          <w:sz w:val="24"/>
          <w:szCs w:val="24"/>
        </w:rPr>
      </w:pPr>
      <w:r>
        <w:rPr>
          <w:rFonts w:ascii="Arial" w:eastAsia="Arial" w:hAnsi="Arial" w:cs="Arial"/>
          <w:sz w:val="24"/>
          <w:szCs w:val="24"/>
        </w:rPr>
        <w:t xml:space="preserve">Additionally the Supplier must: </w:t>
      </w:r>
    </w:p>
    <w:p w:rsidR="007D44AC" w:rsidRDefault="00DD0FA5">
      <w:pPr>
        <w:numPr>
          <w:ilvl w:val="3"/>
          <w:numId w:val="5"/>
        </w:numPr>
        <w:tabs>
          <w:tab w:val="left" w:pos="1134"/>
        </w:tabs>
        <w:spacing w:line="240" w:lineRule="auto"/>
        <w:rPr>
          <w:sz w:val="24"/>
          <w:szCs w:val="24"/>
        </w:rPr>
      </w:pPr>
      <w:r>
        <w:rPr>
          <w:rFonts w:ascii="Arial" w:eastAsia="Arial" w:hAnsi="Arial" w:cs="Arial"/>
          <w:sz w:val="24"/>
          <w:szCs w:val="24"/>
        </w:rPr>
        <w:t xml:space="preserve">be cognisant of the implications of their instructions and the risks of challenge that may arise, and must be able to provide risk-based strategic legal advice in accordance with the Government Legal Department’s guidance on legal risk (see </w:t>
      </w:r>
      <w:hyperlink r:id="rId13">
        <w:r>
          <w:rPr>
            <w:rFonts w:ascii="Arial" w:eastAsia="Arial" w:hAnsi="Arial" w:cs="Arial"/>
            <w:color w:val="1155CC"/>
            <w:sz w:val="24"/>
            <w:szCs w:val="24"/>
            <w:u w:val="single"/>
          </w:rPr>
          <w:t>linked g</w:t>
        </w:r>
        <w:r>
          <w:rPr>
            <w:rFonts w:ascii="Arial" w:eastAsia="Arial" w:hAnsi="Arial" w:cs="Arial"/>
            <w:color w:val="1155CC"/>
            <w:sz w:val="24"/>
            <w:szCs w:val="24"/>
            <w:u w:val="single"/>
          </w:rPr>
          <w:t>u</w:t>
        </w:r>
        <w:r>
          <w:rPr>
            <w:rFonts w:ascii="Arial" w:eastAsia="Arial" w:hAnsi="Arial" w:cs="Arial"/>
            <w:color w:val="1155CC"/>
            <w:sz w:val="24"/>
            <w:szCs w:val="24"/>
            <w:u w:val="single"/>
          </w:rPr>
          <w:t>idance</w:t>
        </w:r>
      </w:hyperlink>
      <w:r>
        <w:rPr>
          <w:rFonts w:ascii="Arial" w:eastAsia="Arial" w:hAnsi="Arial" w:cs="Arial"/>
          <w:sz w:val="24"/>
          <w:szCs w:val="24"/>
        </w:rPr>
        <w:t xml:space="preserve">) as may be updated from time to time; </w:t>
      </w:r>
    </w:p>
    <w:p w:rsidR="007D44AC" w:rsidRDefault="00DD0FA5">
      <w:pPr>
        <w:numPr>
          <w:ilvl w:val="3"/>
          <w:numId w:val="5"/>
        </w:numPr>
        <w:tabs>
          <w:tab w:val="left" w:pos="1134"/>
        </w:tabs>
        <w:spacing w:line="240" w:lineRule="auto"/>
        <w:rPr>
          <w:sz w:val="24"/>
          <w:szCs w:val="24"/>
        </w:rPr>
      </w:pPr>
      <w:r>
        <w:rPr>
          <w:rFonts w:ascii="Arial" w:eastAsia="Arial" w:hAnsi="Arial" w:cs="Arial"/>
          <w:sz w:val="24"/>
          <w:szCs w:val="24"/>
        </w:rPr>
        <w:t xml:space="preserve">develop a robust team structure, matching the right individuals with the appropriate skills and including a process to ensure resilience and quality of the team and access to the necessary skills and experience not covered by core advisers; </w:t>
      </w:r>
    </w:p>
    <w:p w:rsidR="007D44AC" w:rsidRDefault="00DD0FA5">
      <w:pPr>
        <w:numPr>
          <w:ilvl w:val="3"/>
          <w:numId w:val="5"/>
        </w:numPr>
        <w:tabs>
          <w:tab w:val="left" w:pos="1134"/>
        </w:tabs>
        <w:spacing w:line="240" w:lineRule="auto"/>
        <w:rPr>
          <w:sz w:val="24"/>
          <w:szCs w:val="24"/>
        </w:rPr>
      </w:pPr>
      <w:r>
        <w:rPr>
          <w:rFonts w:ascii="Arial" w:eastAsia="Arial" w:hAnsi="Arial" w:cs="Arial"/>
          <w:sz w:val="24"/>
          <w:szCs w:val="24"/>
        </w:rPr>
        <w:t xml:space="preserve">apply strong business and commercial management experience including the ability to build and maintain a correctly balanced team, taking into account skills, expertise and delivery (at the appropriate level),  </w:t>
      </w:r>
    </w:p>
    <w:p w:rsidR="007D44AC" w:rsidRDefault="00DD0FA5">
      <w:pPr>
        <w:numPr>
          <w:ilvl w:val="3"/>
          <w:numId w:val="5"/>
        </w:numPr>
        <w:tabs>
          <w:tab w:val="left" w:pos="1134"/>
        </w:tabs>
        <w:spacing w:line="240" w:lineRule="auto"/>
        <w:rPr>
          <w:sz w:val="24"/>
          <w:szCs w:val="24"/>
        </w:rPr>
      </w:pPr>
      <w:r>
        <w:rPr>
          <w:rFonts w:ascii="Arial" w:eastAsia="Arial" w:hAnsi="Arial" w:cs="Arial"/>
          <w:sz w:val="24"/>
          <w:szCs w:val="24"/>
        </w:rPr>
        <w:t xml:space="preserve">Ensure that an effective mitigation strategy is in place to manage conflict of interests. This will set out the rules, </w:t>
      </w:r>
      <w:r>
        <w:rPr>
          <w:rFonts w:ascii="Arial" w:eastAsia="Arial" w:hAnsi="Arial" w:cs="Arial"/>
          <w:sz w:val="24"/>
          <w:szCs w:val="24"/>
        </w:rPr>
        <w:lastRenderedPageBreak/>
        <w:t>procedures and physical barriers and contracts that prevent the flow of sensitive or protected information to stakeholders who could gain an unfair advantage. Conflict of interest shall here have the meaning set out in the Solicitors Regulation Authority Handbook or equivalent in the Supplier’s jurisdiction, as amended from time to time.</w:t>
      </w:r>
    </w:p>
    <w:p w:rsidR="007D44AC" w:rsidRDefault="00DD0FA5">
      <w:pPr>
        <w:numPr>
          <w:ilvl w:val="3"/>
          <w:numId w:val="5"/>
        </w:numPr>
        <w:tabs>
          <w:tab w:val="left" w:pos="1134"/>
        </w:tabs>
        <w:spacing w:line="240" w:lineRule="auto"/>
        <w:rPr>
          <w:sz w:val="24"/>
          <w:szCs w:val="24"/>
        </w:rPr>
      </w:pPr>
      <w:r>
        <w:rPr>
          <w:rFonts w:ascii="Arial" w:eastAsia="Arial" w:hAnsi="Arial" w:cs="Arial"/>
          <w:sz w:val="24"/>
          <w:szCs w:val="24"/>
        </w:rPr>
        <w:t xml:space="preserve">work on high profile project(s) with a high degree of confidentiality and in line with </w:t>
      </w:r>
      <w:hyperlink r:id="rId14">
        <w:r>
          <w:rPr>
            <w:rFonts w:ascii="Arial" w:eastAsia="Arial" w:hAnsi="Arial" w:cs="Arial"/>
            <w:color w:val="1155CC"/>
            <w:sz w:val="24"/>
            <w:szCs w:val="24"/>
            <w:u w:val="single"/>
          </w:rPr>
          <w:t>Government Security Classifications</w:t>
        </w:r>
      </w:hyperlink>
      <w:r>
        <w:rPr>
          <w:rFonts w:ascii="Arial" w:eastAsia="Arial" w:hAnsi="Arial" w:cs="Arial"/>
          <w:sz w:val="24"/>
          <w:szCs w:val="24"/>
        </w:rPr>
        <w:t xml:space="preserve">; </w:t>
      </w:r>
    </w:p>
    <w:p w:rsidR="007D44AC" w:rsidRDefault="00DD0FA5">
      <w:pPr>
        <w:numPr>
          <w:ilvl w:val="3"/>
          <w:numId w:val="5"/>
        </w:numPr>
        <w:tabs>
          <w:tab w:val="left" w:pos="1134"/>
        </w:tabs>
        <w:spacing w:line="240" w:lineRule="auto"/>
        <w:rPr>
          <w:sz w:val="24"/>
          <w:szCs w:val="24"/>
        </w:rPr>
      </w:pPr>
      <w:r>
        <w:rPr>
          <w:rFonts w:ascii="Arial" w:eastAsia="Arial" w:hAnsi="Arial" w:cs="Arial"/>
          <w:sz w:val="24"/>
          <w:szCs w:val="24"/>
        </w:rPr>
        <w:t>work efficiently to tight timescales in pressurised circumstances to deliver quality outputs, and to work collaboratively with the Buyers’ in-house lawyers, policy officials, financial, economic and commercial advisers;</w:t>
      </w:r>
    </w:p>
    <w:p w:rsidR="007D44AC" w:rsidRDefault="00DD0FA5">
      <w:pPr>
        <w:numPr>
          <w:ilvl w:val="3"/>
          <w:numId w:val="5"/>
        </w:numPr>
        <w:tabs>
          <w:tab w:val="left" w:pos="1134"/>
        </w:tabs>
        <w:spacing w:line="240" w:lineRule="auto"/>
        <w:rPr>
          <w:sz w:val="24"/>
          <w:szCs w:val="24"/>
        </w:rPr>
      </w:pPr>
      <w:r>
        <w:rPr>
          <w:rFonts w:ascii="Arial" w:eastAsia="Arial" w:hAnsi="Arial" w:cs="Arial"/>
          <w:sz w:val="24"/>
          <w:szCs w:val="24"/>
        </w:rPr>
        <w:t xml:space="preserve">dovetail with the Buyer’s own project management arrangements. The Supplier shall ensure it is aware of likely spikes in activity and be able to resource accordingly to ensure that Buyer’s milestones are achieved; </w:t>
      </w:r>
    </w:p>
    <w:p w:rsidR="007D44AC" w:rsidRDefault="00DD0FA5">
      <w:pPr>
        <w:numPr>
          <w:ilvl w:val="3"/>
          <w:numId w:val="5"/>
        </w:numPr>
        <w:tabs>
          <w:tab w:val="left" w:pos="1134"/>
        </w:tabs>
        <w:spacing w:line="240" w:lineRule="auto"/>
        <w:rPr>
          <w:sz w:val="24"/>
          <w:szCs w:val="24"/>
        </w:rPr>
      </w:pPr>
      <w:r>
        <w:rPr>
          <w:rFonts w:ascii="Arial" w:eastAsia="Arial" w:hAnsi="Arial" w:cs="Arial"/>
          <w:sz w:val="24"/>
          <w:szCs w:val="24"/>
        </w:rPr>
        <w:t xml:space="preserve">communicate succinctly both orally and in writing at all levels up to and including Ministerial level within Government and with external advisers and stakeholders. Appreciating the complexity of the issues involved, Plain English drafting is encouraged; </w:t>
      </w:r>
    </w:p>
    <w:p w:rsidR="007D44AC" w:rsidRDefault="00DD0FA5">
      <w:pPr>
        <w:numPr>
          <w:ilvl w:val="3"/>
          <w:numId w:val="5"/>
        </w:numPr>
        <w:tabs>
          <w:tab w:val="left" w:pos="1134"/>
        </w:tabs>
        <w:spacing w:line="240" w:lineRule="auto"/>
        <w:rPr>
          <w:sz w:val="24"/>
          <w:szCs w:val="24"/>
        </w:rPr>
      </w:pPr>
      <w:r>
        <w:rPr>
          <w:rFonts w:ascii="Arial" w:eastAsia="Arial" w:hAnsi="Arial" w:cs="Arial"/>
          <w:sz w:val="24"/>
          <w:szCs w:val="24"/>
        </w:rPr>
        <w:t xml:space="preserve">promote and facilitate the transfer of skills and knowledge with the Buyers, and the sharing of information and the development of broader best practice initiatives within any relevant industry; </w:t>
      </w:r>
    </w:p>
    <w:p w:rsidR="007D44AC" w:rsidRDefault="00DD0FA5">
      <w:pPr>
        <w:numPr>
          <w:ilvl w:val="3"/>
          <w:numId w:val="5"/>
        </w:numPr>
        <w:tabs>
          <w:tab w:val="left" w:pos="1134"/>
        </w:tabs>
        <w:spacing w:line="240" w:lineRule="auto"/>
        <w:rPr>
          <w:sz w:val="24"/>
          <w:szCs w:val="24"/>
        </w:rPr>
      </w:pPr>
      <w:r>
        <w:rPr>
          <w:rFonts w:ascii="Arial" w:eastAsia="Arial" w:hAnsi="Arial" w:cs="Arial"/>
          <w:sz w:val="24"/>
          <w:szCs w:val="24"/>
        </w:rPr>
        <w:t xml:space="preserve">manage costs and to work closely with the Buyers and the Buyers’ in-house lawyers to achieve this, maximising transparency around costs, while driving efficiency and value for money, as far as possible, for example by ensuring their resources are used as effectively as possible; and </w:t>
      </w:r>
    </w:p>
    <w:p w:rsidR="007D44AC" w:rsidRDefault="00DD0FA5">
      <w:pPr>
        <w:numPr>
          <w:ilvl w:val="3"/>
          <w:numId w:val="5"/>
        </w:numPr>
        <w:tabs>
          <w:tab w:val="left" w:pos="1134"/>
        </w:tabs>
        <w:spacing w:line="240" w:lineRule="auto"/>
        <w:rPr>
          <w:sz w:val="24"/>
          <w:szCs w:val="24"/>
        </w:rPr>
      </w:pPr>
      <w:r>
        <w:rPr>
          <w:rFonts w:ascii="Arial" w:eastAsia="Arial" w:hAnsi="Arial" w:cs="Arial"/>
          <w:sz w:val="24"/>
          <w:szCs w:val="24"/>
        </w:rPr>
        <w:t xml:space="preserve">set internal budgets for particular pieces of work or for longer term projects and measure and control actual expenditure against such budgets; and  </w:t>
      </w:r>
    </w:p>
    <w:p w:rsidR="007D44AC" w:rsidRDefault="00DD0FA5">
      <w:pPr>
        <w:numPr>
          <w:ilvl w:val="3"/>
          <w:numId w:val="5"/>
        </w:numPr>
        <w:tabs>
          <w:tab w:val="left" w:pos="1134"/>
        </w:tabs>
        <w:spacing w:line="240" w:lineRule="auto"/>
        <w:rPr>
          <w:sz w:val="24"/>
          <w:szCs w:val="24"/>
        </w:rPr>
      </w:pPr>
      <w:r>
        <w:rPr>
          <w:rFonts w:ascii="Arial" w:eastAsia="Arial" w:hAnsi="Arial" w:cs="Arial"/>
          <w:sz w:val="24"/>
          <w:szCs w:val="24"/>
        </w:rPr>
        <w:t xml:space="preserve">have in place and must maintain throughout the Framework Period robust quality assurance and governance processes and must act in accordance with Principle 5 of the SRA Handbook or the equivalent provision in the relevant guidance in the Supplier’s jurisdiction, amended from time to time. </w:t>
      </w:r>
    </w:p>
    <w:p w:rsidR="007D44AC" w:rsidRDefault="00DD0FA5">
      <w:pPr>
        <w:numPr>
          <w:ilvl w:val="2"/>
          <w:numId w:val="5"/>
        </w:numPr>
        <w:tabs>
          <w:tab w:val="left" w:pos="1134"/>
        </w:tabs>
        <w:spacing w:line="240" w:lineRule="auto"/>
        <w:rPr>
          <w:sz w:val="24"/>
          <w:szCs w:val="24"/>
        </w:rPr>
      </w:pPr>
      <w:r>
        <w:rPr>
          <w:rFonts w:ascii="Arial" w:eastAsia="Arial" w:hAnsi="Arial" w:cs="Arial"/>
          <w:sz w:val="24"/>
          <w:szCs w:val="24"/>
        </w:rPr>
        <w:t xml:space="preserve">The Supplier must ensure that: </w:t>
      </w:r>
    </w:p>
    <w:p w:rsidR="007D44AC" w:rsidRDefault="00DD0FA5">
      <w:pPr>
        <w:numPr>
          <w:ilvl w:val="3"/>
          <w:numId w:val="5"/>
        </w:numPr>
        <w:tabs>
          <w:tab w:val="left" w:pos="1134"/>
        </w:tabs>
        <w:spacing w:line="240" w:lineRule="auto"/>
        <w:rPr>
          <w:sz w:val="24"/>
          <w:szCs w:val="24"/>
        </w:rPr>
      </w:pPr>
      <w:r>
        <w:rPr>
          <w:rFonts w:ascii="Arial" w:eastAsia="Arial" w:hAnsi="Arial" w:cs="Arial"/>
          <w:sz w:val="24"/>
          <w:szCs w:val="24"/>
        </w:rPr>
        <w:t>all Services provided are fit for purpose;</w:t>
      </w:r>
    </w:p>
    <w:p w:rsidR="007D44AC" w:rsidRDefault="00DD0FA5">
      <w:pPr>
        <w:numPr>
          <w:ilvl w:val="3"/>
          <w:numId w:val="5"/>
        </w:numPr>
        <w:tabs>
          <w:tab w:val="left" w:pos="1134"/>
        </w:tabs>
        <w:spacing w:line="240" w:lineRule="auto"/>
        <w:rPr>
          <w:sz w:val="24"/>
          <w:szCs w:val="24"/>
        </w:rPr>
      </w:pPr>
      <w:r>
        <w:rPr>
          <w:rFonts w:ascii="Arial" w:eastAsia="Arial" w:hAnsi="Arial" w:cs="Arial"/>
          <w:sz w:val="24"/>
          <w:szCs w:val="24"/>
        </w:rPr>
        <w:lastRenderedPageBreak/>
        <w:t xml:space="preserve">where the provision of the Services involves the drafting, review or production or modification of documentation, such documentation is technically functional; and </w:t>
      </w:r>
    </w:p>
    <w:p w:rsidR="007D44AC" w:rsidRDefault="00DD0FA5">
      <w:pPr>
        <w:numPr>
          <w:ilvl w:val="3"/>
          <w:numId w:val="5"/>
        </w:numPr>
        <w:tabs>
          <w:tab w:val="left" w:pos="1134"/>
        </w:tabs>
        <w:spacing w:line="240" w:lineRule="auto"/>
        <w:rPr>
          <w:sz w:val="24"/>
          <w:szCs w:val="24"/>
        </w:rPr>
      </w:pPr>
      <w:r>
        <w:rPr>
          <w:rFonts w:ascii="Arial" w:eastAsia="Arial" w:hAnsi="Arial" w:cs="Arial"/>
          <w:sz w:val="24"/>
          <w:szCs w:val="24"/>
        </w:rPr>
        <w:t xml:space="preserve">all Services are provided to a standard no less than would be expected of a skilled and competent provider of services broadly equivalent to the Services. </w:t>
      </w:r>
    </w:p>
    <w:p w:rsidR="007D44AC" w:rsidRDefault="00DD0FA5">
      <w:pPr>
        <w:numPr>
          <w:ilvl w:val="2"/>
          <w:numId w:val="5"/>
        </w:numPr>
        <w:tabs>
          <w:tab w:val="left" w:pos="1134"/>
        </w:tabs>
        <w:spacing w:line="240" w:lineRule="auto"/>
        <w:rPr>
          <w:sz w:val="24"/>
          <w:szCs w:val="24"/>
        </w:rPr>
      </w:pPr>
      <w:r>
        <w:rPr>
          <w:rFonts w:ascii="Arial" w:eastAsia="Arial" w:hAnsi="Arial" w:cs="Arial"/>
          <w:sz w:val="24"/>
          <w:szCs w:val="24"/>
        </w:rPr>
        <w:t xml:space="preserve">The Supplier must, at all relevant times: </w:t>
      </w:r>
    </w:p>
    <w:p w:rsidR="007D44AC" w:rsidRDefault="00DD0FA5">
      <w:pPr>
        <w:numPr>
          <w:ilvl w:val="3"/>
          <w:numId w:val="5"/>
        </w:numPr>
        <w:tabs>
          <w:tab w:val="left" w:pos="1134"/>
        </w:tabs>
        <w:spacing w:line="240" w:lineRule="auto"/>
        <w:rPr>
          <w:sz w:val="24"/>
          <w:szCs w:val="24"/>
        </w:rPr>
      </w:pPr>
      <w:r>
        <w:rPr>
          <w:rFonts w:ascii="Arial" w:eastAsia="Arial" w:hAnsi="Arial" w:cs="Arial"/>
          <w:sz w:val="24"/>
          <w:szCs w:val="24"/>
        </w:rPr>
        <w:t xml:space="preserve">comply with those generally applicable and relevant policies of the Authority and/or Buyers which have been notified to the Supplier whether at the date of the Order or otherwise; and </w:t>
      </w:r>
    </w:p>
    <w:p w:rsidR="007D44AC" w:rsidRDefault="00DD0FA5">
      <w:pPr>
        <w:numPr>
          <w:ilvl w:val="3"/>
          <w:numId w:val="5"/>
        </w:numPr>
        <w:tabs>
          <w:tab w:val="left" w:pos="1134"/>
        </w:tabs>
        <w:spacing w:line="240" w:lineRule="auto"/>
        <w:rPr>
          <w:sz w:val="24"/>
          <w:szCs w:val="24"/>
        </w:rPr>
      </w:pPr>
      <w:r>
        <w:rPr>
          <w:rFonts w:ascii="Arial" w:eastAsia="Arial" w:hAnsi="Arial" w:cs="Arial"/>
          <w:sz w:val="24"/>
          <w:szCs w:val="24"/>
        </w:rPr>
        <w:t xml:space="preserve">before accepting an Order from a new Buyer, request from the Buyer notification of all such policies which apply; and </w:t>
      </w:r>
    </w:p>
    <w:p w:rsidR="007D44AC" w:rsidRDefault="00DD0FA5">
      <w:pPr>
        <w:numPr>
          <w:ilvl w:val="3"/>
          <w:numId w:val="5"/>
        </w:numPr>
        <w:tabs>
          <w:tab w:val="left" w:pos="1134"/>
        </w:tabs>
        <w:spacing w:line="240" w:lineRule="auto"/>
        <w:rPr>
          <w:sz w:val="24"/>
          <w:szCs w:val="24"/>
        </w:rPr>
      </w:pPr>
      <w:r>
        <w:rPr>
          <w:rFonts w:ascii="Arial" w:eastAsia="Arial" w:hAnsi="Arial" w:cs="Arial"/>
          <w:sz w:val="24"/>
          <w:szCs w:val="24"/>
        </w:rPr>
        <w:t>ensure that it is (and all relevant Supplier Personnel are) properly and appropriately familiar with current law and aware of forthcoming changes to the law of the relevant jurisdiction which it is advising on.</w:t>
      </w:r>
    </w:p>
    <w:p w:rsidR="007D44AC" w:rsidRDefault="00DD0FA5">
      <w:pPr>
        <w:numPr>
          <w:ilvl w:val="2"/>
          <w:numId w:val="5"/>
        </w:numPr>
        <w:tabs>
          <w:tab w:val="left" w:pos="1134"/>
        </w:tabs>
        <w:spacing w:line="240" w:lineRule="auto"/>
        <w:rPr>
          <w:sz w:val="24"/>
          <w:szCs w:val="24"/>
        </w:rPr>
      </w:pPr>
      <w:r>
        <w:rPr>
          <w:rFonts w:ascii="Arial" w:eastAsia="Arial" w:hAnsi="Arial" w:cs="Arial"/>
          <w:sz w:val="24"/>
          <w:szCs w:val="24"/>
        </w:rPr>
        <w:t>On receipt of an Order the Supplier must take proactive steps (in a manner and to an extent proportionate to the size and nature of the Order) to plan and agree with the Buyer the Legal Services to be provided to the Buyer to clarify and document:</w:t>
      </w:r>
    </w:p>
    <w:p w:rsidR="007D44AC" w:rsidRDefault="00DD0FA5">
      <w:pPr>
        <w:numPr>
          <w:ilvl w:val="3"/>
          <w:numId w:val="5"/>
        </w:numPr>
        <w:tabs>
          <w:tab w:val="left" w:pos="1134"/>
        </w:tabs>
        <w:spacing w:line="240" w:lineRule="auto"/>
        <w:rPr>
          <w:sz w:val="24"/>
          <w:szCs w:val="24"/>
        </w:rPr>
      </w:pPr>
      <w:r>
        <w:rPr>
          <w:rFonts w:ascii="Arial" w:eastAsia="Arial" w:hAnsi="Arial" w:cs="Arial"/>
          <w:sz w:val="24"/>
          <w:szCs w:val="24"/>
        </w:rPr>
        <w:t xml:space="preserve">the legal advice required; </w:t>
      </w:r>
    </w:p>
    <w:p w:rsidR="007D44AC" w:rsidRDefault="00DD0FA5">
      <w:pPr>
        <w:numPr>
          <w:ilvl w:val="3"/>
          <w:numId w:val="5"/>
        </w:numPr>
        <w:tabs>
          <w:tab w:val="left" w:pos="1134"/>
        </w:tabs>
        <w:spacing w:line="240" w:lineRule="auto"/>
        <w:rPr>
          <w:sz w:val="24"/>
          <w:szCs w:val="24"/>
        </w:rPr>
      </w:pPr>
      <w:r>
        <w:rPr>
          <w:rFonts w:ascii="Arial" w:eastAsia="Arial" w:hAnsi="Arial" w:cs="Arial"/>
          <w:sz w:val="24"/>
          <w:szCs w:val="24"/>
        </w:rPr>
        <w:t xml:space="preserve">how the Supplier’s resources will be mobilised in the timescale required by the Buyer; </w:t>
      </w:r>
    </w:p>
    <w:p w:rsidR="007D44AC" w:rsidRDefault="00DD0FA5">
      <w:pPr>
        <w:numPr>
          <w:ilvl w:val="3"/>
          <w:numId w:val="5"/>
        </w:numPr>
        <w:tabs>
          <w:tab w:val="left" w:pos="1134"/>
        </w:tabs>
        <w:spacing w:line="240" w:lineRule="auto"/>
        <w:rPr>
          <w:sz w:val="24"/>
          <w:szCs w:val="24"/>
        </w:rPr>
      </w:pPr>
      <w:r>
        <w:rPr>
          <w:rFonts w:ascii="Arial" w:eastAsia="Arial" w:hAnsi="Arial" w:cs="Arial"/>
          <w:sz w:val="24"/>
          <w:szCs w:val="24"/>
        </w:rPr>
        <w:t xml:space="preserve">how legal input will be structured to minimise costs and maximise efficiency; </w:t>
      </w:r>
    </w:p>
    <w:p w:rsidR="007D44AC" w:rsidRDefault="00DD0FA5">
      <w:pPr>
        <w:numPr>
          <w:ilvl w:val="3"/>
          <w:numId w:val="5"/>
        </w:numPr>
        <w:tabs>
          <w:tab w:val="left" w:pos="1134"/>
        </w:tabs>
        <w:spacing w:line="240" w:lineRule="auto"/>
        <w:rPr>
          <w:sz w:val="24"/>
          <w:szCs w:val="24"/>
        </w:rPr>
      </w:pPr>
      <w:r>
        <w:rPr>
          <w:rFonts w:ascii="Arial" w:eastAsia="Arial" w:hAnsi="Arial" w:cs="Arial"/>
          <w:sz w:val="24"/>
          <w:szCs w:val="24"/>
        </w:rPr>
        <w:t xml:space="preserve">how work previously undertaken for the relevant Buyer can be re-used to reduce cost; </w:t>
      </w:r>
    </w:p>
    <w:p w:rsidR="007D44AC" w:rsidRDefault="00DD0FA5">
      <w:pPr>
        <w:numPr>
          <w:ilvl w:val="3"/>
          <w:numId w:val="5"/>
        </w:numPr>
        <w:tabs>
          <w:tab w:val="left" w:pos="1134"/>
        </w:tabs>
        <w:spacing w:line="240" w:lineRule="auto"/>
        <w:rPr>
          <w:sz w:val="24"/>
          <w:szCs w:val="24"/>
        </w:rPr>
      </w:pPr>
      <w:r>
        <w:rPr>
          <w:rFonts w:ascii="Arial" w:eastAsia="Arial" w:hAnsi="Arial" w:cs="Arial"/>
          <w:sz w:val="24"/>
          <w:szCs w:val="24"/>
        </w:rPr>
        <w:t xml:space="preserve">the levels and names of Key Personnel and lawyers working on performing the ordered Services; </w:t>
      </w:r>
    </w:p>
    <w:p w:rsidR="007D44AC" w:rsidRDefault="00DD0FA5">
      <w:pPr>
        <w:numPr>
          <w:ilvl w:val="3"/>
          <w:numId w:val="5"/>
        </w:numPr>
        <w:tabs>
          <w:tab w:val="left" w:pos="1134"/>
        </w:tabs>
        <w:spacing w:line="240" w:lineRule="auto"/>
        <w:rPr>
          <w:sz w:val="24"/>
          <w:szCs w:val="24"/>
        </w:rPr>
      </w:pPr>
      <w:r>
        <w:rPr>
          <w:rFonts w:ascii="Arial" w:eastAsia="Arial" w:hAnsi="Arial" w:cs="Arial"/>
          <w:sz w:val="24"/>
          <w:szCs w:val="24"/>
        </w:rPr>
        <w:t xml:space="preserve">which of the Buyer’s personnel can provide instructions and authorise additional work; and </w:t>
      </w:r>
    </w:p>
    <w:p w:rsidR="007D44AC" w:rsidRDefault="00DD0FA5">
      <w:pPr>
        <w:numPr>
          <w:ilvl w:val="3"/>
          <w:numId w:val="5"/>
        </w:numPr>
        <w:tabs>
          <w:tab w:val="left" w:pos="1134"/>
        </w:tabs>
        <w:spacing w:line="240" w:lineRule="auto"/>
        <w:rPr>
          <w:sz w:val="24"/>
          <w:szCs w:val="24"/>
        </w:rPr>
      </w:pPr>
      <w:r>
        <w:rPr>
          <w:rFonts w:ascii="Arial" w:eastAsia="Arial" w:hAnsi="Arial" w:cs="Arial"/>
          <w:sz w:val="24"/>
          <w:szCs w:val="24"/>
        </w:rPr>
        <w:t xml:space="preserve">the general management of the ordered Services and the provision by the Supplier thereof. </w:t>
      </w:r>
    </w:p>
    <w:p w:rsidR="007D44AC" w:rsidRDefault="00DD0FA5">
      <w:pPr>
        <w:numPr>
          <w:ilvl w:val="2"/>
          <w:numId w:val="5"/>
        </w:numPr>
        <w:tabs>
          <w:tab w:val="left" w:pos="1134"/>
        </w:tabs>
        <w:spacing w:line="240" w:lineRule="auto"/>
        <w:rPr>
          <w:sz w:val="24"/>
          <w:szCs w:val="24"/>
        </w:rPr>
      </w:pPr>
      <w:r>
        <w:rPr>
          <w:rFonts w:ascii="Arial" w:eastAsia="Arial" w:hAnsi="Arial" w:cs="Arial"/>
          <w:sz w:val="24"/>
          <w:szCs w:val="24"/>
        </w:rPr>
        <w:t xml:space="preserve">During the performance of Services the Supplier must conduct reviews at intervals specified in the Call-Off Contract to (i) review adherence to the original plans for the Services prepared pursuant to paragraph 6.7.4 above, and (ii) ensure optimisation of efficiency and value for money in provision of the Services. The Supplier must </w:t>
      </w:r>
      <w:r>
        <w:rPr>
          <w:rFonts w:ascii="Arial" w:eastAsia="Arial" w:hAnsi="Arial" w:cs="Arial"/>
          <w:sz w:val="24"/>
          <w:szCs w:val="24"/>
        </w:rPr>
        <w:lastRenderedPageBreak/>
        <w:t xml:space="preserve">perform this review in conjunction with the Buyer if requested but in any event shall (i) confirm to the Buyer that any review required has, in each case, been completed; and (ii) report to the Buyer on the outcome of the review. </w:t>
      </w:r>
    </w:p>
    <w:p w:rsidR="007D44AC" w:rsidRDefault="00DD0FA5">
      <w:pPr>
        <w:numPr>
          <w:ilvl w:val="2"/>
          <w:numId w:val="5"/>
        </w:numPr>
        <w:tabs>
          <w:tab w:val="left" w:pos="1134"/>
        </w:tabs>
        <w:spacing w:line="240" w:lineRule="auto"/>
        <w:rPr>
          <w:sz w:val="24"/>
          <w:szCs w:val="24"/>
        </w:rPr>
      </w:pPr>
      <w:r>
        <w:rPr>
          <w:rFonts w:ascii="Arial" w:eastAsia="Arial" w:hAnsi="Arial" w:cs="Arial"/>
          <w:sz w:val="24"/>
          <w:szCs w:val="24"/>
        </w:rPr>
        <w:t xml:space="preserve">When requested by the Buyer, the Supplier shall work closely with lawyers from Buyers’ legal teams or from the Government Legal Department, as part of the overall performance of the ordered Services, and it shall follow all directions in this regard which the Buyer may make. </w:t>
      </w:r>
    </w:p>
    <w:p w:rsidR="007D44AC" w:rsidRDefault="00DD0FA5">
      <w:pPr>
        <w:numPr>
          <w:ilvl w:val="2"/>
          <w:numId w:val="5"/>
        </w:numPr>
        <w:tabs>
          <w:tab w:val="left" w:pos="1134"/>
        </w:tabs>
        <w:spacing w:line="240" w:lineRule="auto"/>
        <w:rPr>
          <w:sz w:val="24"/>
          <w:szCs w:val="24"/>
        </w:rPr>
      </w:pPr>
      <w:r>
        <w:rPr>
          <w:rFonts w:ascii="Arial" w:eastAsia="Arial" w:hAnsi="Arial" w:cs="Arial"/>
          <w:sz w:val="24"/>
          <w:szCs w:val="24"/>
        </w:rPr>
        <w:t>The Supplier must provide Matter Management free of charge - Matter Management refers to activities involved in managing all aspects of the corporate legal practice.</w:t>
      </w:r>
    </w:p>
    <w:p w:rsidR="007D44AC" w:rsidRDefault="00DD0FA5">
      <w:pPr>
        <w:numPr>
          <w:ilvl w:val="2"/>
          <w:numId w:val="5"/>
        </w:numPr>
        <w:tabs>
          <w:tab w:val="left" w:pos="1134"/>
        </w:tabs>
        <w:spacing w:line="240" w:lineRule="auto"/>
        <w:rPr>
          <w:sz w:val="24"/>
          <w:szCs w:val="24"/>
        </w:rPr>
      </w:pPr>
      <w:r>
        <w:rPr>
          <w:rFonts w:ascii="Arial" w:eastAsia="Arial" w:hAnsi="Arial" w:cs="Arial"/>
          <w:sz w:val="24"/>
          <w:szCs w:val="24"/>
        </w:rPr>
        <w:t xml:space="preserve">The Supplier must have in place a Matter Management System - this is a system recording all matters and relevant data such as parties, matter type, providers and in-house counsel working on the matter. </w:t>
      </w:r>
    </w:p>
    <w:p w:rsidR="007D44AC" w:rsidRDefault="00DD0FA5">
      <w:pPr>
        <w:numPr>
          <w:ilvl w:val="2"/>
          <w:numId w:val="5"/>
        </w:numPr>
        <w:tabs>
          <w:tab w:val="left" w:pos="1134"/>
        </w:tabs>
        <w:spacing w:line="240" w:lineRule="auto"/>
        <w:rPr>
          <w:sz w:val="24"/>
          <w:szCs w:val="24"/>
        </w:rPr>
      </w:pPr>
      <w:r>
        <w:rPr>
          <w:rFonts w:ascii="Arial" w:eastAsia="Arial" w:hAnsi="Arial" w:cs="Arial"/>
          <w:sz w:val="24"/>
          <w:szCs w:val="24"/>
        </w:rPr>
        <w:t xml:space="preserve">The Supplier must have in place from the Framework Contract Start Date an eBilling process and system (electronic invoicing removing the need for paper billing). The Supplier shall utilise such a system at no extra cost to the Authority or Buyers. </w:t>
      </w:r>
    </w:p>
    <w:p w:rsidR="007D44AC" w:rsidRDefault="00DD0FA5">
      <w:pPr>
        <w:numPr>
          <w:ilvl w:val="1"/>
          <w:numId w:val="5"/>
        </w:numPr>
        <w:tabs>
          <w:tab w:val="left" w:pos="1134"/>
        </w:tabs>
        <w:spacing w:line="240" w:lineRule="auto"/>
        <w:rPr>
          <w:sz w:val="24"/>
          <w:szCs w:val="24"/>
        </w:rPr>
      </w:pPr>
      <w:r>
        <w:rPr>
          <w:rFonts w:ascii="Arial" w:eastAsia="Arial" w:hAnsi="Arial" w:cs="Arial"/>
          <w:b/>
          <w:sz w:val="24"/>
          <w:szCs w:val="24"/>
        </w:rPr>
        <w:t>Collaborative Working</w:t>
      </w:r>
    </w:p>
    <w:p w:rsidR="007D44AC" w:rsidRDefault="00DD0FA5">
      <w:pPr>
        <w:numPr>
          <w:ilvl w:val="2"/>
          <w:numId w:val="5"/>
        </w:numPr>
        <w:tabs>
          <w:tab w:val="left" w:pos="1134"/>
        </w:tabs>
        <w:spacing w:line="240" w:lineRule="auto"/>
        <w:rPr>
          <w:sz w:val="24"/>
          <w:szCs w:val="24"/>
        </w:rPr>
      </w:pPr>
      <w:r>
        <w:rPr>
          <w:rFonts w:ascii="Arial" w:eastAsia="Arial" w:hAnsi="Arial" w:cs="Arial"/>
          <w:sz w:val="24"/>
          <w:szCs w:val="24"/>
        </w:rPr>
        <w:t xml:space="preserve">The Supplier acknowledges and agrees that Buyers may request Suppliers from the Framework to work in collaboration with Government Legal Department lawyers, the Buyer’s internal lawyers or lawyers from other Framework Suppliers or from non-Framework Suppliers with varying specialisms and experience to: </w:t>
      </w:r>
    </w:p>
    <w:p w:rsidR="007D44AC" w:rsidRDefault="00DD0FA5">
      <w:pPr>
        <w:numPr>
          <w:ilvl w:val="3"/>
          <w:numId w:val="5"/>
        </w:numPr>
        <w:tabs>
          <w:tab w:val="left" w:pos="1134"/>
        </w:tabs>
        <w:spacing w:line="240" w:lineRule="auto"/>
        <w:rPr>
          <w:sz w:val="24"/>
          <w:szCs w:val="24"/>
        </w:rPr>
      </w:pPr>
      <w:r>
        <w:rPr>
          <w:rFonts w:ascii="Arial" w:eastAsia="Arial" w:hAnsi="Arial" w:cs="Arial"/>
          <w:sz w:val="24"/>
          <w:szCs w:val="24"/>
        </w:rPr>
        <w:t xml:space="preserve">support  the delivery  of  novel,  complex or  strategically important Services ordered; and/or </w:t>
      </w:r>
    </w:p>
    <w:p w:rsidR="007D44AC" w:rsidRDefault="00DD0FA5">
      <w:pPr>
        <w:numPr>
          <w:ilvl w:val="3"/>
          <w:numId w:val="5"/>
        </w:numPr>
        <w:tabs>
          <w:tab w:val="left" w:pos="1134"/>
        </w:tabs>
        <w:spacing w:line="240" w:lineRule="auto"/>
        <w:rPr>
          <w:sz w:val="24"/>
          <w:szCs w:val="24"/>
        </w:rPr>
      </w:pPr>
      <w:r>
        <w:rPr>
          <w:rFonts w:ascii="Arial" w:eastAsia="Arial" w:hAnsi="Arial" w:cs="Arial"/>
          <w:sz w:val="24"/>
          <w:szCs w:val="24"/>
        </w:rPr>
        <w:t xml:space="preserve">build and/or complement capability and capacity across the Framework. </w:t>
      </w:r>
    </w:p>
    <w:p w:rsidR="007D44AC" w:rsidRDefault="00DD0FA5">
      <w:pPr>
        <w:numPr>
          <w:ilvl w:val="2"/>
          <w:numId w:val="5"/>
        </w:numPr>
        <w:tabs>
          <w:tab w:val="left" w:pos="1134"/>
        </w:tabs>
        <w:spacing w:line="240" w:lineRule="auto"/>
        <w:rPr>
          <w:sz w:val="24"/>
          <w:szCs w:val="24"/>
        </w:rPr>
      </w:pPr>
      <w:r>
        <w:rPr>
          <w:rFonts w:ascii="Arial" w:eastAsia="Arial" w:hAnsi="Arial" w:cs="Arial"/>
          <w:sz w:val="24"/>
          <w:szCs w:val="24"/>
        </w:rPr>
        <w:t xml:space="preserve">The Supplier must ensure their full cooperation to enable and facilitate wherever possible operating in a collaborative way where a Buyer project requires this. </w:t>
      </w:r>
    </w:p>
    <w:p w:rsidR="007D44AC" w:rsidRDefault="00DD0FA5">
      <w:pPr>
        <w:numPr>
          <w:ilvl w:val="2"/>
          <w:numId w:val="5"/>
        </w:numPr>
        <w:tabs>
          <w:tab w:val="left" w:pos="1134"/>
        </w:tabs>
        <w:spacing w:line="240" w:lineRule="auto"/>
        <w:rPr>
          <w:sz w:val="24"/>
          <w:szCs w:val="24"/>
        </w:rPr>
      </w:pPr>
      <w:r>
        <w:rPr>
          <w:rFonts w:ascii="Arial" w:eastAsia="Arial" w:hAnsi="Arial" w:cs="Arial"/>
          <w:sz w:val="24"/>
          <w:szCs w:val="24"/>
        </w:rPr>
        <w:t>Suppliers shall be adept at collaborating with lawyers, commercial, strategy and policy experts in Government, Counsel, other stakeholders such as consultants, analysts, economists, UK and overseas regulators and other legal suppliers as may be required to meet future challenges for Buyers.</w:t>
      </w:r>
    </w:p>
    <w:p w:rsidR="007D44AC" w:rsidRDefault="00DD0FA5">
      <w:pPr>
        <w:numPr>
          <w:ilvl w:val="1"/>
          <w:numId w:val="5"/>
        </w:numPr>
        <w:tabs>
          <w:tab w:val="left" w:pos="1134"/>
        </w:tabs>
        <w:spacing w:line="240" w:lineRule="auto"/>
        <w:rPr>
          <w:sz w:val="24"/>
          <w:szCs w:val="24"/>
        </w:rPr>
      </w:pPr>
      <w:r>
        <w:rPr>
          <w:rFonts w:ascii="Arial" w:eastAsia="Arial" w:hAnsi="Arial" w:cs="Arial"/>
          <w:b/>
          <w:sz w:val="24"/>
          <w:szCs w:val="24"/>
        </w:rPr>
        <w:t>Consultation</w:t>
      </w:r>
    </w:p>
    <w:p w:rsidR="007D44AC" w:rsidRDefault="00DD0FA5">
      <w:pPr>
        <w:numPr>
          <w:ilvl w:val="2"/>
          <w:numId w:val="5"/>
        </w:numPr>
        <w:tabs>
          <w:tab w:val="left" w:pos="1134"/>
        </w:tabs>
        <w:spacing w:line="240" w:lineRule="auto"/>
        <w:rPr>
          <w:sz w:val="24"/>
          <w:szCs w:val="24"/>
        </w:rPr>
      </w:pPr>
      <w:r>
        <w:rPr>
          <w:rFonts w:ascii="Arial" w:eastAsia="Arial" w:hAnsi="Arial" w:cs="Arial"/>
          <w:sz w:val="24"/>
          <w:szCs w:val="24"/>
        </w:rPr>
        <w:lastRenderedPageBreak/>
        <w:t xml:space="preserve">The Supplier shall provide the Buyer(s) with an initial consultation of up to two (2) hours at the beginning of each Call-Off Contract to discuss developing/new legal matters, at no cost to the Buyer(s). </w:t>
      </w:r>
    </w:p>
    <w:p w:rsidR="007D44AC" w:rsidRDefault="00DD0FA5">
      <w:pPr>
        <w:numPr>
          <w:ilvl w:val="1"/>
          <w:numId w:val="5"/>
        </w:numPr>
        <w:tabs>
          <w:tab w:val="left" w:pos="1134"/>
        </w:tabs>
        <w:spacing w:line="240" w:lineRule="auto"/>
        <w:rPr>
          <w:sz w:val="24"/>
          <w:szCs w:val="24"/>
        </w:rPr>
      </w:pPr>
      <w:r>
        <w:rPr>
          <w:rFonts w:ascii="Arial" w:eastAsia="Arial" w:hAnsi="Arial" w:cs="Arial"/>
          <w:b/>
          <w:sz w:val="24"/>
          <w:szCs w:val="24"/>
        </w:rPr>
        <w:t xml:space="preserve">Knowledge Sharing </w:t>
      </w:r>
    </w:p>
    <w:p w:rsidR="007D44AC" w:rsidRDefault="00DD0FA5">
      <w:pPr>
        <w:numPr>
          <w:ilvl w:val="2"/>
          <w:numId w:val="5"/>
        </w:numPr>
        <w:tabs>
          <w:tab w:val="left" w:pos="1134"/>
        </w:tabs>
        <w:spacing w:line="240" w:lineRule="auto"/>
        <w:rPr>
          <w:sz w:val="24"/>
          <w:szCs w:val="24"/>
        </w:rPr>
      </w:pPr>
      <w:r>
        <w:rPr>
          <w:rFonts w:ascii="Arial" w:eastAsia="Arial" w:hAnsi="Arial" w:cs="Arial"/>
          <w:sz w:val="24"/>
          <w:szCs w:val="24"/>
        </w:rPr>
        <w:t xml:space="preserve">The Supplier must make available to Buyers who have ordered Services under a Call-Off Contract with the Supplier regularly and periodically throughout the Framework Term, free of charge, via email, printed publication or other form of presentation (as appropriate), Know-How appropriate to the Buyer and/or the Services provided by the Supplier to each  Buyer. This shall include (without limitation): </w:t>
      </w:r>
    </w:p>
    <w:p w:rsidR="007D44AC" w:rsidRDefault="00DD0FA5">
      <w:pPr>
        <w:numPr>
          <w:ilvl w:val="3"/>
          <w:numId w:val="5"/>
        </w:numPr>
        <w:tabs>
          <w:tab w:val="left" w:pos="1134"/>
        </w:tabs>
        <w:spacing w:line="240" w:lineRule="auto"/>
        <w:rPr>
          <w:sz w:val="24"/>
          <w:szCs w:val="24"/>
        </w:rPr>
      </w:pPr>
      <w:r>
        <w:rPr>
          <w:rFonts w:ascii="Arial" w:eastAsia="Arial" w:hAnsi="Arial" w:cs="Arial"/>
          <w:sz w:val="24"/>
          <w:szCs w:val="24"/>
        </w:rPr>
        <w:t xml:space="preserve">e- briefings, email alerts, hubs and webinars; </w:t>
      </w:r>
    </w:p>
    <w:p w:rsidR="007D44AC" w:rsidRDefault="00DD0FA5">
      <w:pPr>
        <w:numPr>
          <w:ilvl w:val="3"/>
          <w:numId w:val="5"/>
        </w:numPr>
        <w:tabs>
          <w:tab w:val="left" w:pos="1134"/>
        </w:tabs>
        <w:spacing w:line="240" w:lineRule="auto"/>
        <w:rPr>
          <w:sz w:val="24"/>
          <w:szCs w:val="24"/>
        </w:rPr>
      </w:pPr>
      <w:r>
        <w:rPr>
          <w:rFonts w:ascii="Arial" w:eastAsia="Arial" w:hAnsi="Arial" w:cs="Arial"/>
          <w:sz w:val="24"/>
          <w:szCs w:val="24"/>
        </w:rPr>
        <w:t>whitepapers,</w:t>
      </w:r>
      <w:r w:rsidR="00193C6B">
        <w:rPr>
          <w:rFonts w:ascii="Arial" w:eastAsia="Arial" w:hAnsi="Arial" w:cs="Arial"/>
          <w:sz w:val="24"/>
          <w:szCs w:val="24"/>
        </w:rPr>
        <w:t xml:space="preserve"> </w:t>
      </w:r>
      <w:r>
        <w:rPr>
          <w:rFonts w:ascii="Arial" w:eastAsia="Arial" w:hAnsi="Arial" w:cs="Arial"/>
          <w:sz w:val="24"/>
          <w:szCs w:val="24"/>
        </w:rPr>
        <w:t>thought leadership,</w:t>
      </w:r>
      <w:r w:rsidR="00193C6B">
        <w:rPr>
          <w:rFonts w:ascii="Arial" w:eastAsia="Arial" w:hAnsi="Arial" w:cs="Arial"/>
          <w:sz w:val="24"/>
          <w:szCs w:val="24"/>
        </w:rPr>
        <w:t xml:space="preserve"> </w:t>
      </w:r>
      <w:r>
        <w:rPr>
          <w:rFonts w:ascii="Arial" w:eastAsia="Arial" w:hAnsi="Arial" w:cs="Arial"/>
          <w:sz w:val="24"/>
          <w:szCs w:val="24"/>
        </w:rPr>
        <w:t>publications,</w:t>
      </w:r>
      <w:r w:rsidR="00193C6B">
        <w:rPr>
          <w:rFonts w:ascii="Arial" w:eastAsia="Arial" w:hAnsi="Arial" w:cs="Arial"/>
          <w:sz w:val="24"/>
          <w:szCs w:val="24"/>
        </w:rPr>
        <w:t xml:space="preserve"> </w:t>
      </w:r>
      <w:r>
        <w:rPr>
          <w:rFonts w:ascii="Arial" w:eastAsia="Arial" w:hAnsi="Arial" w:cs="Arial"/>
          <w:sz w:val="24"/>
          <w:szCs w:val="24"/>
        </w:rPr>
        <w:t>subscriptions, insights and articles;</w:t>
      </w:r>
    </w:p>
    <w:p w:rsidR="007D44AC" w:rsidRDefault="00DD0FA5">
      <w:pPr>
        <w:numPr>
          <w:ilvl w:val="3"/>
          <w:numId w:val="5"/>
        </w:numPr>
        <w:tabs>
          <w:tab w:val="left" w:pos="1134"/>
        </w:tabs>
        <w:spacing w:line="240" w:lineRule="auto"/>
        <w:rPr>
          <w:sz w:val="24"/>
          <w:szCs w:val="24"/>
        </w:rPr>
      </w:pPr>
      <w:r>
        <w:rPr>
          <w:rFonts w:ascii="Arial" w:eastAsia="Arial" w:hAnsi="Arial" w:cs="Arial"/>
          <w:sz w:val="24"/>
          <w:szCs w:val="24"/>
        </w:rPr>
        <w:t xml:space="preserve">invitations and access to breakfast briefings, seminars, conferences and events; </w:t>
      </w:r>
    </w:p>
    <w:p w:rsidR="007D44AC" w:rsidRDefault="00DD0FA5">
      <w:pPr>
        <w:numPr>
          <w:ilvl w:val="3"/>
          <w:numId w:val="5"/>
        </w:numPr>
        <w:tabs>
          <w:tab w:val="left" w:pos="1134"/>
        </w:tabs>
        <w:spacing w:line="240" w:lineRule="auto"/>
        <w:rPr>
          <w:sz w:val="24"/>
          <w:szCs w:val="24"/>
        </w:rPr>
      </w:pPr>
      <w:r>
        <w:rPr>
          <w:rFonts w:ascii="Arial" w:eastAsia="Arial" w:hAnsi="Arial" w:cs="Arial"/>
          <w:sz w:val="24"/>
          <w:szCs w:val="24"/>
        </w:rPr>
        <w:t xml:space="preserve">general  use  of  and  access  to  the  Supplier’s  physical  libraries located at the Supplier’s offices, given appropriate security access; </w:t>
      </w:r>
    </w:p>
    <w:p w:rsidR="007D44AC" w:rsidRDefault="00DD0FA5">
      <w:pPr>
        <w:numPr>
          <w:ilvl w:val="3"/>
          <w:numId w:val="5"/>
        </w:numPr>
        <w:tabs>
          <w:tab w:val="left" w:pos="1134"/>
        </w:tabs>
        <w:spacing w:line="240" w:lineRule="auto"/>
        <w:rPr>
          <w:sz w:val="24"/>
          <w:szCs w:val="24"/>
        </w:rPr>
      </w:pPr>
      <w:r>
        <w:rPr>
          <w:rFonts w:ascii="Arial" w:eastAsia="Arial" w:hAnsi="Arial" w:cs="Arial"/>
          <w:sz w:val="24"/>
          <w:szCs w:val="24"/>
        </w:rPr>
        <w:t xml:space="preserve">general use of and access to the Supplier’s electronic libraries where available and subject to any licensing restrictions; and </w:t>
      </w:r>
    </w:p>
    <w:p w:rsidR="007D44AC" w:rsidRDefault="00DD0FA5">
      <w:pPr>
        <w:numPr>
          <w:ilvl w:val="3"/>
          <w:numId w:val="5"/>
        </w:numPr>
        <w:tabs>
          <w:tab w:val="left" w:pos="1134"/>
        </w:tabs>
        <w:spacing w:line="240" w:lineRule="auto"/>
        <w:rPr>
          <w:sz w:val="24"/>
          <w:szCs w:val="24"/>
        </w:rPr>
      </w:pPr>
      <w:r>
        <w:rPr>
          <w:rFonts w:ascii="Arial" w:eastAsia="Arial" w:hAnsi="Arial" w:cs="Arial"/>
          <w:sz w:val="24"/>
          <w:szCs w:val="24"/>
        </w:rPr>
        <w:t xml:space="preserve">invitations to masterclasses and industry events, when available. </w:t>
      </w:r>
    </w:p>
    <w:p w:rsidR="007D44AC" w:rsidRDefault="00DD0FA5">
      <w:pPr>
        <w:numPr>
          <w:ilvl w:val="2"/>
          <w:numId w:val="5"/>
        </w:numPr>
        <w:tabs>
          <w:tab w:val="left" w:pos="1134"/>
        </w:tabs>
        <w:spacing w:line="240" w:lineRule="auto"/>
        <w:rPr>
          <w:sz w:val="24"/>
          <w:szCs w:val="24"/>
        </w:rPr>
      </w:pPr>
      <w:r>
        <w:rPr>
          <w:rFonts w:ascii="Arial" w:eastAsia="Arial" w:hAnsi="Arial" w:cs="Arial"/>
          <w:sz w:val="24"/>
          <w:szCs w:val="24"/>
        </w:rPr>
        <w:t xml:space="preserve">The Supplier shall provide additional training to Buyers who have ordered Services under a Call-Off Contract with the Supplier upon request. Such training shall be: </w:t>
      </w:r>
    </w:p>
    <w:p w:rsidR="007D44AC" w:rsidRDefault="00DD0FA5">
      <w:pPr>
        <w:numPr>
          <w:ilvl w:val="3"/>
          <w:numId w:val="5"/>
        </w:numPr>
        <w:tabs>
          <w:tab w:val="left" w:pos="1134"/>
        </w:tabs>
        <w:spacing w:line="240" w:lineRule="auto"/>
        <w:rPr>
          <w:sz w:val="24"/>
          <w:szCs w:val="24"/>
        </w:rPr>
      </w:pPr>
      <w:r>
        <w:rPr>
          <w:rFonts w:ascii="Arial" w:eastAsia="Arial" w:hAnsi="Arial" w:cs="Arial"/>
          <w:sz w:val="24"/>
          <w:szCs w:val="24"/>
        </w:rPr>
        <w:t xml:space="preserve">tailored to the Buyer’s specific requirements, or generic training in the required area, at the Buyer’s request; </w:t>
      </w:r>
    </w:p>
    <w:p w:rsidR="007D44AC" w:rsidRDefault="00DD0FA5">
      <w:pPr>
        <w:numPr>
          <w:ilvl w:val="3"/>
          <w:numId w:val="5"/>
        </w:numPr>
        <w:tabs>
          <w:tab w:val="left" w:pos="1134"/>
        </w:tabs>
        <w:spacing w:line="240" w:lineRule="auto"/>
        <w:rPr>
          <w:sz w:val="24"/>
          <w:szCs w:val="24"/>
        </w:rPr>
      </w:pPr>
      <w:r>
        <w:rPr>
          <w:rFonts w:ascii="Arial" w:eastAsia="Arial" w:hAnsi="Arial" w:cs="Arial"/>
          <w:sz w:val="24"/>
          <w:szCs w:val="24"/>
        </w:rPr>
        <w:t xml:space="preserve">charged at no more than the Supplier’s Framework Rates (rates submitted as part of the Supplier’s Framework Tender Response) for staff delivering training. </w:t>
      </w:r>
    </w:p>
    <w:p w:rsidR="007D44AC" w:rsidRDefault="00DD0FA5">
      <w:pPr>
        <w:numPr>
          <w:ilvl w:val="2"/>
          <w:numId w:val="5"/>
        </w:numPr>
        <w:tabs>
          <w:tab w:val="left" w:pos="1134"/>
        </w:tabs>
        <w:spacing w:line="240" w:lineRule="auto"/>
        <w:rPr>
          <w:sz w:val="24"/>
          <w:szCs w:val="24"/>
        </w:rPr>
      </w:pPr>
      <w:r>
        <w:rPr>
          <w:rFonts w:ascii="Arial" w:eastAsia="Arial" w:hAnsi="Arial" w:cs="Arial"/>
          <w:sz w:val="24"/>
          <w:szCs w:val="24"/>
        </w:rPr>
        <w:t xml:space="preserve">Once a Call-Off Contract has been performed (or as the Services to be performed under it near completion, as seems appropriate to the Buyer under the circumstances), the Supplier must conduct a knowledge transfer exercise where requested to do so by the Buyer. This exercise shall: </w:t>
      </w:r>
    </w:p>
    <w:p w:rsidR="007D44AC" w:rsidRDefault="00DD0FA5">
      <w:pPr>
        <w:numPr>
          <w:ilvl w:val="3"/>
          <w:numId w:val="5"/>
        </w:numPr>
        <w:tabs>
          <w:tab w:val="left" w:pos="1134"/>
        </w:tabs>
        <w:spacing w:line="240" w:lineRule="auto"/>
        <w:rPr>
          <w:sz w:val="24"/>
          <w:szCs w:val="24"/>
        </w:rPr>
      </w:pPr>
      <w:r>
        <w:rPr>
          <w:rFonts w:ascii="Arial" w:eastAsia="Arial" w:hAnsi="Arial" w:cs="Arial"/>
          <w:sz w:val="24"/>
          <w:szCs w:val="24"/>
        </w:rPr>
        <w:t xml:space="preserve">document, collate and transfer to the Buyer any significant know-how, learning and/or practices generated, developed </w:t>
      </w:r>
      <w:r>
        <w:rPr>
          <w:rFonts w:ascii="Arial" w:eastAsia="Arial" w:hAnsi="Arial" w:cs="Arial"/>
          <w:sz w:val="24"/>
          <w:szCs w:val="24"/>
        </w:rPr>
        <w:lastRenderedPageBreak/>
        <w:t xml:space="preserve">and/or used by the Supplier during the relevant Call-Off Contract; </w:t>
      </w:r>
    </w:p>
    <w:p w:rsidR="007D44AC" w:rsidRDefault="00DD0FA5">
      <w:pPr>
        <w:numPr>
          <w:ilvl w:val="3"/>
          <w:numId w:val="5"/>
        </w:numPr>
        <w:tabs>
          <w:tab w:val="left" w:pos="1134"/>
        </w:tabs>
        <w:spacing w:line="240" w:lineRule="auto"/>
        <w:rPr>
          <w:sz w:val="24"/>
          <w:szCs w:val="24"/>
        </w:rPr>
      </w:pPr>
      <w:r>
        <w:rPr>
          <w:rFonts w:ascii="Arial" w:eastAsia="Arial" w:hAnsi="Arial" w:cs="Arial"/>
          <w:sz w:val="24"/>
          <w:szCs w:val="24"/>
        </w:rPr>
        <w:t xml:space="preserve">compile and transfer to the Buyer a document bible(s) (including electronic versions of the same if the Buyer so requires) comprising the contractual and/or other documents and/or advice generated, developed and/or used by the Supplier during the relevant Call-Off Contract; </w:t>
      </w:r>
    </w:p>
    <w:p w:rsidR="007D44AC" w:rsidRDefault="00DD0FA5">
      <w:pPr>
        <w:numPr>
          <w:ilvl w:val="3"/>
          <w:numId w:val="5"/>
        </w:numPr>
        <w:tabs>
          <w:tab w:val="left" w:pos="1134"/>
        </w:tabs>
        <w:spacing w:line="240" w:lineRule="auto"/>
        <w:rPr>
          <w:sz w:val="24"/>
          <w:szCs w:val="24"/>
        </w:rPr>
      </w:pPr>
      <w:r>
        <w:rPr>
          <w:rFonts w:ascii="Arial" w:eastAsia="Arial" w:hAnsi="Arial" w:cs="Arial"/>
          <w:sz w:val="24"/>
          <w:szCs w:val="24"/>
        </w:rPr>
        <w:t xml:space="preserve">be completed within one (1) calendar month of the later of completion of the relevant Services, the request to conduct the exercise made by the Buyer or the expiry of the relevant Call-Off Contract; and </w:t>
      </w:r>
    </w:p>
    <w:p w:rsidR="007D44AC" w:rsidRDefault="00DD0FA5">
      <w:pPr>
        <w:numPr>
          <w:ilvl w:val="3"/>
          <w:numId w:val="5"/>
        </w:numPr>
        <w:tabs>
          <w:tab w:val="left" w:pos="1134"/>
        </w:tabs>
        <w:spacing w:line="240" w:lineRule="auto"/>
        <w:rPr>
          <w:sz w:val="24"/>
          <w:szCs w:val="24"/>
        </w:rPr>
      </w:pPr>
      <w:r>
        <w:rPr>
          <w:rFonts w:ascii="Arial" w:eastAsia="Arial" w:hAnsi="Arial" w:cs="Arial"/>
          <w:sz w:val="24"/>
          <w:szCs w:val="24"/>
        </w:rPr>
        <w:t>be performed at no additional cost or charge to the Buyer.</w:t>
      </w:r>
    </w:p>
    <w:p w:rsidR="007D44AC" w:rsidRDefault="00DD0FA5">
      <w:pPr>
        <w:numPr>
          <w:ilvl w:val="1"/>
          <w:numId w:val="5"/>
        </w:numPr>
        <w:tabs>
          <w:tab w:val="left" w:pos="1134"/>
        </w:tabs>
        <w:spacing w:line="240" w:lineRule="auto"/>
        <w:rPr>
          <w:sz w:val="24"/>
          <w:szCs w:val="24"/>
        </w:rPr>
      </w:pPr>
      <w:r>
        <w:rPr>
          <w:rFonts w:ascii="Arial" w:eastAsia="Arial" w:hAnsi="Arial" w:cs="Arial"/>
          <w:b/>
          <w:sz w:val="24"/>
          <w:szCs w:val="24"/>
        </w:rPr>
        <w:t>Location Requirements</w:t>
      </w:r>
    </w:p>
    <w:p w:rsidR="007D44AC" w:rsidRDefault="00DD0FA5">
      <w:pPr>
        <w:numPr>
          <w:ilvl w:val="2"/>
          <w:numId w:val="5"/>
        </w:numPr>
        <w:tabs>
          <w:tab w:val="left" w:pos="1134"/>
        </w:tabs>
        <w:spacing w:line="240" w:lineRule="auto"/>
        <w:rPr>
          <w:sz w:val="24"/>
          <w:szCs w:val="24"/>
        </w:rPr>
      </w:pPr>
      <w:r>
        <w:rPr>
          <w:rFonts w:ascii="Arial" w:eastAsia="Arial" w:hAnsi="Arial" w:cs="Arial"/>
          <w:sz w:val="24"/>
          <w:szCs w:val="24"/>
        </w:rPr>
        <w:t xml:space="preserve">The Supplier shall supply the Services to any location specified in the Call-Off Contract. </w:t>
      </w:r>
    </w:p>
    <w:p w:rsidR="007D44AC" w:rsidRDefault="00DD0FA5">
      <w:pPr>
        <w:numPr>
          <w:ilvl w:val="2"/>
          <w:numId w:val="5"/>
        </w:numPr>
        <w:tabs>
          <w:tab w:val="left" w:pos="1134"/>
        </w:tabs>
        <w:spacing w:line="240" w:lineRule="auto"/>
        <w:rPr>
          <w:sz w:val="24"/>
          <w:szCs w:val="24"/>
        </w:rPr>
      </w:pPr>
      <w:r>
        <w:rPr>
          <w:rFonts w:ascii="Arial" w:eastAsia="Arial" w:hAnsi="Arial" w:cs="Arial"/>
          <w:sz w:val="24"/>
          <w:szCs w:val="24"/>
        </w:rPr>
        <w:t xml:space="preserve">The Supplier must provide virtual and physical storage and ‘data rooms’ (spaces used for housing data, usually of a secure or privileged nature), as requested to do so by Buyers who have ordered Services under a Call-Off Contract, to support its performance of the Call-Off Contract, to securely store items including but not limited to procurement documentation, contractual documentation, deeds, and due diligence documentation, at no additional cost to the Buyer. </w:t>
      </w:r>
    </w:p>
    <w:p w:rsidR="007D44AC" w:rsidRDefault="00DD0FA5">
      <w:pPr>
        <w:numPr>
          <w:ilvl w:val="2"/>
          <w:numId w:val="5"/>
        </w:numPr>
        <w:tabs>
          <w:tab w:val="left" w:pos="1134"/>
        </w:tabs>
        <w:spacing w:line="240" w:lineRule="auto"/>
        <w:rPr>
          <w:sz w:val="24"/>
          <w:szCs w:val="24"/>
        </w:rPr>
      </w:pPr>
      <w:r>
        <w:rPr>
          <w:rFonts w:ascii="Arial" w:eastAsia="Arial" w:hAnsi="Arial" w:cs="Arial"/>
          <w:sz w:val="24"/>
          <w:szCs w:val="24"/>
        </w:rPr>
        <w:t>The Supplier must have available and must maintain internet, telephone and video conferencing facilities for the delivery of the Services, and shall make no additional charge for use of the same in performing the Call-Off Contract.</w:t>
      </w:r>
    </w:p>
    <w:p w:rsidR="007D44AC" w:rsidRDefault="00DD0FA5">
      <w:pPr>
        <w:numPr>
          <w:ilvl w:val="1"/>
          <w:numId w:val="5"/>
        </w:numPr>
        <w:tabs>
          <w:tab w:val="left" w:pos="1134"/>
        </w:tabs>
        <w:spacing w:line="240" w:lineRule="auto"/>
        <w:rPr>
          <w:sz w:val="24"/>
          <w:szCs w:val="24"/>
        </w:rPr>
      </w:pPr>
      <w:r>
        <w:rPr>
          <w:rFonts w:ascii="Arial" w:eastAsia="Arial" w:hAnsi="Arial" w:cs="Arial"/>
          <w:b/>
          <w:sz w:val="24"/>
          <w:szCs w:val="24"/>
        </w:rPr>
        <w:t xml:space="preserve">Travel and Related Expenses </w:t>
      </w:r>
    </w:p>
    <w:p w:rsidR="007D44AC" w:rsidRDefault="00DD0FA5">
      <w:pPr>
        <w:numPr>
          <w:ilvl w:val="2"/>
          <w:numId w:val="5"/>
        </w:numPr>
        <w:tabs>
          <w:tab w:val="left" w:pos="1134"/>
        </w:tabs>
        <w:spacing w:line="240" w:lineRule="auto"/>
        <w:rPr>
          <w:sz w:val="24"/>
          <w:szCs w:val="24"/>
        </w:rPr>
      </w:pPr>
      <w:r>
        <w:rPr>
          <w:rFonts w:ascii="Arial" w:eastAsia="Arial" w:hAnsi="Arial" w:cs="Arial"/>
          <w:sz w:val="24"/>
          <w:szCs w:val="24"/>
        </w:rPr>
        <w:t xml:space="preserve">The Supplier acknowledges and agrees that secretarial support and photocopying shall not be chargeable unless agreed otherwise by Buyers in the Call-Off Contract. </w:t>
      </w:r>
    </w:p>
    <w:p w:rsidR="007D44AC" w:rsidRDefault="00DD0FA5">
      <w:pPr>
        <w:numPr>
          <w:ilvl w:val="2"/>
          <w:numId w:val="5"/>
        </w:numPr>
        <w:tabs>
          <w:tab w:val="left" w:pos="1134"/>
        </w:tabs>
        <w:spacing w:line="240" w:lineRule="auto"/>
        <w:rPr>
          <w:sz w:val="24"/>
          <w:szCs w:val="24"/>
        </w:rPr>
      </w:pPr>
      <w:r>
        <w:rPr>
          <w:rFonts w:ascii="Arial" w:eastAsia="Arial" w:hAnsi="Arial" w:cs="Arial"/>
          <w:sz w:val="24"/>
          <w:szCs w:val="24"/>
          <w:highlight w:val="white"/>
        </w:rPr>
        <w:t xml:space="preserve">If the Buyer requires the Supplier to travel internationally, then the </w:t>
      </w:r>
      <w:r w:rsidRPr="007E1E77">
        <w:rPr>
          <w:rFonts w:ascii="Arial" w:eastAsia="Arial" w:hAnsi="Arial" w:cs="Arial"/>
          <w:sz w:val="24"/>
          <w:szCs w:val="24"/>
        </w:rPr>
        <w:t xml:space="preserve">Supplier will be reimbursed for reasonable travel time and travel costs. </w:t>
      </w:r>
      <w:r w:rsidR="00AD3961" w:rsidRPr="007E1E77">
        <w:rPr>
          <w:rFonts w:ascii="Arial" w:eastAsia="Arial" w:hAnsi="Arial" w:cs="Arial"/>
          <w:sz w:val="24"/>
          <w:szCs w:val="24"/>
        </w:rPr>
        <w:t>Costs to be agreed with the Buyer.</w:t>
      </w:r>
      <w:r w:rsidR="00AD3961">
        <w:rPr>
          <w:rFonts w:ascii="Arial" w:eastAsia="Arial" w:hAnsi="Arial" w:cs="Arial"/>
          <w:sz w:val="24"/>
          <w:szCs w:val="24"/>
        </w:rPr>
        <w:t xml:space="preserve">  </w:t>
      </w:r>
    </w:p>
    <w:p w:rsidR="007D44AC" w:rsidRDefault="00DD0FA5">
      <w:pPr>
        <w:numPr>
          <w:ilvl w:val="2"/>
          <w:numId w:val="5"/>
        </w:numPr>
        <w:tabs>
          <w:tab w:val="left" w:pos="1134"/>
        </w:tabs>
        <w:spacing w:line="240" w:lineRule="auto"/>
        <w:rPr>
          <w:sz w:val="24"/>
          <w:szCs w:val="24"/>
        </w:rPr>
      </w:pPr>
      <w:r>
        <w:rPr>
          <w:rFonts w:ascii="Arial" w:eastAsia="Arial" w:hAnsi="Arial" w:cs="Arial"/>
          <w:sz w:val="24"/>
          <w:szCs w:val="24"/>
          <w:highlight w:val="white"/>
        </w:rPr>
        <w:t xml:space="preserve">Travel time and travel costs which are reimbursed are not permitted to include any margin.  </w:t>
      </w:r>
    </w:p>
    <w:p w:rsidR="007D44AC" w:rsidRDefault="00DD0FA5">
      <w:pPr>
        <w:numPr>
          <w:ilvl w:val="2"/>
          <w:numId w:val="5"/>
        </w:numPr>
        <w:tabs>
          <w:tab w:val="left" w:pos="1134"/>
        </w:tabs>
        <w:spacing w:line="240" w:lineRule="auto"/>
        <w:rPr>
          <w:sz w:val="24"/>
          <w:szCs w:val="24"/>
        </w:rPr>
      </w:pPr>
      <w:r>
        <w:rPr>
          <w:rFonts w:ascii="Arial" w:eastAsia="Arial" w:hAnsi="Arial" w:cs="Arial"/>
          <w:sz w:val="24"/>
          <w:szCs w:val="24"/>
        </w:rPr>
        <w:t xml:space="preserve">The Supplier must comply with the Buyer(s) travel requirements and instructions, internal policies, and arrangements for travel costs and related charges set out in the Call-Off Contract or otherwise by notice to the Supplier from time to time. </w:t>
      </w:r>
    </w:p>
    <w:p w:rsidR="007D44AC" w:rsidRDefault="00DD0FA5">
      <w:pPr>
        <w:numPr>
          <w:ilvl w:val="2"/>
          <w:numId w:val="5"/>
        </w:numPr>
        <w:tabs>
          <w:tab w:val="left" w:pos="1134"/>
        </w:tabs>
        <w:spacing w:line="240" w:lineRule="auto"/>
        <w:rPr>
          <w:sz w:val="24"/>
          <w:szCs w:val="24"/>
        </w:rPr>
      </w:pPr>
      <w:r>
        <w:rPr>
          <w:rFonts w:ascii="Arial" w:eastAsia="Arial" w:hAnsi="Arial" w:cs="Arial"/>
          <w:sz w:val="24"/>
          <w:szCs w:val="24"/>
        </w:rPr>
        <w:lastRenderedPageBreak/>
        <w:t>The Buyer(s) will specify any disbursements arrangements in the Call-Off Contract or otherwise by notice to the Supplier from time to time.</w:t>
      </w:r>
    </w:p>
    <w:p w:rsidR="007D44AC" w:rsidRDefault="00DD0FA5">
      <w:pPr>
        <w:numPr>
          <w:ilvl w:val="1"/>
          <w:numId w:val="5"/>
        </w:numPr>
        <w:tabs>
          <w:tab w:val="left" w:pos="1134"/>
        </w:tabs>
        <w:spacing w:line="240" w:lineRule="auto"/>
        <w:rPr>
          <w:sz w:val="24"/>
          <w:szCs w:val="24"/>
        </w:rPr>
      </w:pPr>
      <w:r>
        <w:rPr>
          <w:rFonts w:ascii="Arial" w:eastAsia="Arial" w:hAnsi="Arial" w:cs="Arial"/>
          <w:b/>
          <w:sz w:val="24"/>
          <w:szCs w:val="24"/>
        </w:rPr>
        <w:t xml:space="preserve">Framework Contract Standards </w:t>
      </w:r>
    </w:p>
    <w:p w:rsidR="007D44AC" w:rsidRDefault="00DD0FA5">
      <w:pPr>
        <w:numPr>
          <w:ilvl w:val="2"/>
          <w:numId w:val="5"/>
        </w:numPr>
        <w:tabs>
          <w:tab w:val="left" w:pos="1134"/>
        </w:tabs>
        <w:spacing w:line="240" w:lineRule="auto"/>
        <w:rPr>
          <w:sz w:val="24"/>
          <w:szCs w:val="24"/>
        </w:rPr>
      </w:pPr>
      <w:r>
        <w:rPr>
          <w:rFonts w:ascii="Arial" w:eastAsia="Arial" w:hAnsi="Arial" w:cs="Arial"/>
          <w:sz w:val="24"/>
          <w:szCs w:val="24"/>
        </w:rPr>
        <w:t>Suppliers</w:t>
      </w:r>
      <w:r w:rsidR="00D177CB">
        <w:rPr>
          <w:rFonts w:ascii="Arial" w:eastAsia="Arial" w:hAnsi="Arial" w:cs="Arial"/>
          <w:sz w:val="24"/>
          <w:szCs w:val="24"/>
        </w:rPr>
        <w:t xml:space="preserve"> and their Subcontractors</w:t>
      </w:r>
      <w:r>
        <w:rPr>
          <w:rFonts w:ascii="Arial" w:eastAsia="Arial" w:hAnsi="Arial" w:cs="Arial"/>
          <w:sz w:val="24"/>
          <w:szCs w:val="24"/>
        </w:rPr>
        <w:t xml:space="preserve"> are required to have the following standards from the International Organisation for Standardization (or their equivalents)</w:t>
      </w:r>
      <w:r w:rsidR="00D177CB">
        <w:rPr>
          <w:rFonts w:ascii="Arial" w:eastAsia="Arial" w:hAnsi="Arial" w:cs="Arial"/>
          <w:sz w:val="24"/>
          <w:szCs w:val="24"/>
        </w:rPr>
        <w:t xml:space="preserve"> and will continue to maintain and update the standards where required throughout the lifetime of the Framework Contract period:</w:t>
      </w:r>
    </w:p>
    <w:p w:rsidR="007D44AC" w:rsidRDefault="00DD0FA5">
      <w:pPr>
        <w:numPr>
          <w:ilvl w:val="3"/>
          <w:numId w:val="5"/>
        </w:numPr>
        <w:tabs>
          <w:tab w:val="left" w:pos="1134"/>
        </w:tabs>
        <w:spacing w:line="240" w:lineRule="auto"/>
        <w:rPr>
          <w:sz w:val="24"/>
          <w:szCs w:val="24"/>
        </w:rPr>
      </w:pPr>
      <w:r>
        <w:rPr>
          <w:rFonts w:ascii="Arial" w:eastAsia="Arial" w:hAnsi="Arial" w:cs="Arial"/>
          <w:sz w:val="24"/>
          <w:szCs w:val="24"/>
        </w:rPr>
        <w:t>ISO 9001 Quality Management Systems or equivalent;</w:t>
      </w:r>
      <w:r>
        <w:rPr>
          <w:rFonts w:ascii="Arial" w:eastAsia="Arial" w:hAnsi="Arial" w:cs="Arial"/>
          <w:b/>
          <w:sz w:val="24"/>
          <w:szCs w:val="24"/>
        </w:rPr>
        <w:t xml:space="preserve"> </w:t>
      </w:r>
    </w:p>
    <w:p w:rsidR="007D44AC" w:rsidRDefault="00DD0FA5">
      <w:pPr>
        <w:numPr>
          <w:ilvl w:val="3"/>
          <w:numId w:val="5"/>
        </w:numPr>
        <w:tabs>
          <w:tab w:val="left" w:pos="1134"/>
        </w:tabs>
        <w:spacing w:line="240" w:lineRule="auto"/>
        <w:rPr>
          <w:sz w:val="24"/>
          <w:szCs w:val="24"/>
        </w:rPr>
      </w:pPr>
      <w:r>
        <w:rPr>
          <w:rFonts w:ascii="Arial" w:eastAsia="Arial" w:hAnsi="Arial" w:cs="Arial"/>
          <w:sz w:val="24"/>
          <w:szCs w:val="24"/>
        </w:rPr>
        <w:t xml:space="preserve">ISO/IEC 27001 Information Security Management Systems  or equivalent; </w:t>
      </w:r>
    </w:p>
    <w:p w:rsidR="007D44AC" w:rsidRDefault="00DD0FA5">
      <w:pPr>
        <w:numPr>
          <w:ilvl w:val="3"/>
          <w:numId w:val="5"/>
        </w:numPr>
        <w:tabs>
          <w:tab w:val="left" w:pos="1134"/>
        </w:tabs>
        <w:spacing w:line="240" w:lineRule="auto"/>
        <w:rPr>
          <w:sz w:val="24"/>
          <w:szCs w:val="24"/>
        </w:rPr>
      </w:pPr>
      <w:r>
        <w:rPr>
          <w:rFonts w:ascii="Arial" w:eastAsia="Arial" w:hAnsi="Arial" w:cs="Arial"/>
          <w:sz w:val="24"/>
          <w:szCs w:val="24"/>
        </w:rPr>
        <w:t>ISO/IEC 27002:2013 Information Technology – Security Techniques – Code of Practice for information security controls or equivalent;</w:t>
      </w:r>
    </w:p>
    <w:p w:rsidR="007D44AC" w:rsidRDefault="00DD0FA5">
      <w:pPr>
        <w:numPr>
          <w:ilvl w:val="3"/>
          <w:numId w:val="5"/>
        </w:numPr>
        <w:tabs>
          <w:tab w:val="left" w:pos="1134"/>
        </w:tabs>
        <w:spacing w:line="240" w:lineRule="auto"/>
        <w:rPr>
          <w:sz w:val="24"/>
          <w:szCs w:val="24"/>
        </w:rPr>
      </w:pPr>
      <w:r>
        <w:rPr>
          <w:rFonts w:ascii="Arial" w:eastAsia="Arial" w:hAnsi="Arial" w:cs="Arial"/>
          <w:sz w:val="24"/>
          <w:szCs w:val="24"/>
        </w:rPr>
        <w:t xml:space="preserve">ISO/IEC 27031:2011 Information technology – Security techniques – Guidelines for information and communication technology readiness for business continuity or equivalent; </w:t>
      </w:r>
    </w:p>
    <w:p w:rsidR="007D44AC" w:rsidRDefault="00DD0FA5">
      <w:pPr>
        <w:numPr>
          <w:ilvl w:val="3"/>
          <w:numId w:val="5"/>
        </w:numPr>
        <w:tabs>
          <w:tab w:val="left" w:pos="1134"/>
        </w:tabs>
        <w:spacing w:line="240" w:lineRule="auto"/>
        <w:rPr>
          <w:sz w:val="24"/>
          <w:szCs w:val="24"/>
        </w:rPr>
      </w:pPr>
      <w:r>
        <w:rPr>
          <w:rFonts w:ascii="Arial" w:eastAsia="Arial" w:hAnsi="Arial" w:cs="Arial"/>
          <w:sz w:val="24"/>
          <w:szCs w:val="24"/>
        </w:rPr>
        <w:t>ISO 22301:2019 Security and resilience — Business continuity management systems — Requirements or equivalent; and</w:t>
      </w:r>
    </w:p>
    <w:p w:rsidR="007D44AC" w:rsidRDefault="00DD0FA5">
      <w:pPr>
        <w:numPr>
          <w:ilvl w:val="3"/>
          <w:numId w:val="5"/>
        </w:numPr>
        <w:tabs>
          <w:tab w:val="left" w:pos="1134"/>
        </w:tabs>
        <w:spacing w:line="240" w:lineRule="auto"/>
        <w:rPr>
          <w:sz w:val="24"/>
          <w:szCs w:val="24"/>
        </w:rPr>
      </w:pPr>
      <w:r>
        <w:rPr>
          <w:rFonts w:ascii="Arial" w:eastAsia="Arial" w:hAnsi="Arial" w:cs="Arial"/>
          <w:sz w:val="24"/>
          <w:szCs w:val="24"/>
        </w:rPr>
        <w:t>ISO 22313:2020 Security and resilience — Business continuity management systems — Guidance on the use of ISO 22301</w:t>
      </w:r>
      <w:r w:rsidR="00CD6D51">
        <w:rPr>
          <w:rFonts w:ascii="Arial" w:eastAsia="Arial" w:hAnsi="Arial" w:cs="Arial"/>
          <w:sz w:val="24"/>
          <w:szCs w:val="24"/>
        </w:rPr>
        <w:t xml:space="preserve"> </w:t>
      </w:r>
      <w:r>
        <w:rPr>
          <w:rFonts w:ascii="Arial" w:eastAsia="Arial" w:hAnsi="Arial" w:cs="Arial"/>
          <w:sz w:val="24"/>
          <w:szCs w:val="24"/>
        </w:rPr>
        <w:t>or equivalent.</w:t>
      </w:r>
    </w:p>
    <w:p w:rsidR="007D44AC" w:rsidRDefault="00DD0FA5">
      <w:pPr>
        <w:numPr>
          <w:ilvl w:val="2"/>
          <w:numId w:val="5"/>
        </w:numPr>
        <w:tabs>
          <w:tab w:val="left" w:pos="1134"/>
        </w:tabs>
        <w:spacing w:line="240" w:lineRule="auto"/>
        <w:rPr>
          <w:rFonts w:ascii="Arial" w:eastAsia="Arial" w:hAnsi="Arial" w:cs="Arial"/>
          <w:sz w:val="24"/>
          <w:szCs w:val="24"/>
        </w:rPr>
      </w:pPr>
      <w:r>
        <w:rPr>
          <w:rFonts w:ascii="Arial" w:eastAsia="Arial" w:hAnsi="Arial" w:cs="Arial"/>
          <w:sz w:val="24"/>
          <w:szCs w:val="24"/>
        </w:rPr>
        <w:t xml:space="preserve">Suppliers are also required to have Cyber Essentials or equivalent in place </w:t>
      </w:r>
      <w:r w:rsidR="00CD6D51">
        <w:rPr>
          <w:rFonts w:ascii="Arial" w:eastAsia="Arial" w:hAnsi="Arial" w:cs="Arial"/>
          <w:sz w:val="24"/>
          <w:szCs w:val="24"/>
        </w:rPr>
        <w:t xml:space="preserve">in accordance with Framework Schedule 9 (Cyber Essentials). </w:t>
      </w:r>
    </w:p>
    <w:p w:rsidR="007D44AC" w:rsidRDefault="00DD0FA5">
      <w:pPr>
        <w:numPr>
          <w:ilvl w:val="2"/>
          <w:numId w:val="5"/>
        </w:numPr>
        <w:tabs>
          <w:tab w:val="left" w:pos="1134"/>
        </w:tabs>
        <w:spacing w:line="240" w:lineRule="auto"/>
        <w:rPr>
          <w:rFonts w:ascii="Arial" w:eastAsia="Arial" w:hAnsi="Arial" w:cs="Arial"/>
          <w:sz w:val="24"/>
          <w:szCs w:val="24"/>
        </w:rPr>
      </w:pPr>
      <w:r>
        <w:rPr>
          <w:rFonts w:ascii="Arial" w:eastAsia="Arial" w:hAnsi="Arial" w:cs="Arial"/>
          <w:sz w:val="24"/>
          <w:szCs w:val="24"/>
        </w:rPr>
        <w:t>Suppliers are required to give D</w:t>
      </w:r>
      <w:r w:rsidR="00DE3630">
        <w:rPr>
          <w:rFonts w:ascii="Arial" w:eastAsia="Arial" w:hAnsi="Arial" w:cs="Arial"/>
          <w:sz w:val="24"/>
          <w:szCs w:val="24"/>
        </w:rPr>
        <w:t xml:space="preserve">epartment for </w:t>
      </w:r>
      <w:r>
        <w:rPr>
          <w:rFonts w:ascii="Arial" w:eastAsia="Arial" w:hAnsi="Arial" w:cs="Arial"/>
          <w:sz w:val="24"/>
          <w:szCs w:val="24"/>
        </w:rPr>
        <w:t>I</w:t>
      </w:r>
      <w:r w:rsidR="00DE3630">
        <w:rPr>
          <w:rFonts w:ascii="Arial" w:eastAsia="Arial" w:hAnsi="Arial" w:cs="Arial"/>
          <w:sz w:val="24"/>
          <w:szCs w:val="24"/>
        </w:rPr>
        <w:t xml:space="preserve">nternational </w:t>
      </w:r>
      <w:r>
        <w:rPr>
          <w:rFonts w:ascii="Arial" w:eastAsia="Arial" w:hAnsi="Arial" w:cs="Arial"/>
          <w:sz w:val="24"/>
          <w:szCs w:val="24"/>
        </w:rPr>
        <w:t>T</w:t>
      </w:r>
      <w:r w:rsidR="00DE3630">
        <w:rPr>
          <w:rFonts w:ascii="Arial" w:eastAsia="Arial" w:hAnsi="Arial" w:cs="Arial"/>
          <w:sz w:val="24"/>
          <w:szCs w:val="24"/>
        </w:rPr>
        <w:t>rade (DIT)</w:t>
      </w:r>
      <w:r>
        <w:rPr>
          <w:rFonts w:ascii="Arial" w:eastAsia="Arial" w:hAnsi="Arial" w:cs="Arial"/>
          <w:sz w:val="24"/>
          <w:szCs w:val="24"/>
        </w:rPr>
        <w:t xml:space="preserve"> as the principal Buyer under this Framework sufficient access to carry out a risk assessment following ISO27005 methodology post Effective Date of the Framework Agreement and annually thereafter. The Supplier shall provide all necessary documentation to enable the risk assessment to be completed. The Supplier shall </w:t>
      </w:r>
      <w:r w:rsidRPr="007E1E77">
        <w:rPr>
          <w:rFonts w:ascii="Arial" w:eastAsia="Arial" w:hAnsi="Arial" w:cs="Arial"/>
          <w:sz w:val="24"/>
          <w:szCs w:val="24"/>
        </w:rPr>
        <w:t>ensure that all Contracts with</w:t>
      </w:r>
      <w:r>
        <w:rPr>
          <w:rFonts w:ascii="Arial" w:eastAsia="Arial" w:hAnsi="Arial" w:cs="Arial"/>
          <w:sz w:val="24"/>
          <w:szCs w:val="24"/>
        </w:rPr>
        <w:t xml:space="preserve"> Subcontractors contain this provision.</w:t>
      </w:r>
    </w:p>
    <w:p w:rsidR="007D44AC" w:rsidRPr="007E1E77" w:rsidRDefault="00DD0FA5">
      <w:pPr>
        <w:numPr>
          <w:ilvl w:val="1"/>
          <w:numId w:val="5"/>
        </w:numPr>
        <w:tabs>
          <w:tab w:val="left" w:pos="1134"/>
        </w:tabs>
        <w:spacing w:line="240" w:lineRule="auto"/>
        <w:rPr>
          <w:sz w:val="24"/>
          <w:szCs w:val="24"/>
        </w:rPr>
      </w:pPr>
      <w:r w:rsidRPr="007E1E77">
        <w:rPr>
          <w:rFonts w:ascii="Arial" w:eastAsia="Arial" w:hAnsi="Arial" w:cs="Arial"/>
          <w:b/>
          <w:sz w:val="24"/>
          <w:szCs w:val="24"/>
        </w:rPr>
        <w:t>Framework Contract Management</w:t>
      </w:r>
    </w:p>
    <w:p w:rsidR="007D44AC" w:rsidRDefault="00DD0FA5">
      <w:pPr>
        <w:numPr>
          <w:ilvl w:val="2"/>
          <w:numId w:val="5"/>
        </w:numPr>
        <w:tabs>
          <w:tab w:val="left" w:pos="1134"/>
        </w:tabs>
        <w:spacing w:line="240" w:lineRule="auto"/>
        <w:rPr>
          <w:sz w:val="24"/>
          <w:szCs w:val="24"/>
        </w:rPr>
      </w:pPr>
      <w:r>
        <w:rPr>
          <w:rFonts w:ascii="Arial" w:eastAsia="Arial" w:hAnsi="Arial" w:cs="Arial"/>
          <w:sz w:val="24"/>
          <w:szCs w:val="24"/>
        </w:rPr>
        <w:t xml:space="preserve">The Supplier shall provide the Authority with a nominated and appropriate representative, with relevant and appropriate experience, authorised to act as its Framework Manager at the time of signing the Framework Contract. </w:t>
      </w:r>
    </w:p>
    <w:p w:rsidR="007D44AC" w:rsidRDefault="00DD0FA5">
      <w:pPr>
        <w:numPr>
          <w:ilvl w:val="2"/>
          <w:numId w:val="5"/>
        </w:numPr>
        <w:tabs>
          <w:tab w:val="left" w:pos="1134"/>
        </w:tabs>
        <w:spacing w:line="240" w:lineRule="auto"/>
        <w:rPr>
          <w:sz w:val="24"/>
          <w:szCs w:val="24"/>
        </w:rPr>
      </w:pPr>
      <w:r>
        <w:rPr>
          <w:rFonts w:ascii="Arial" w:eastAsia="Arial" w:hAnsi="Arial" w:cs="Arial"/>
          <w:sz w:val="24"/>
          <w:szCs w:val="24"/>
        </w:rPr>
        <w:lastRenderedPageBreak/>
        <w:t xml:space="preserve">The Supplier must actively participate within the Framework Contract management process at no cost. </w:t>
      </w:r>
    </w:p>
    <w:p w:rsidR="007D44AC" w:rsidRDefault="00DD0FA5">
      <w:pPr>
        <w:numPr>
          <w:ilvl w:val="2"/>
          <w:numId w:val="5"/>
        </w:numPr>
        <w:tabs>
          <w:tab w:val="left" w:pos="1134"/>
        </w:tabs>
        <w:spacing w:line="240" w:lineRule="auto"/>
        <w:rPr>
          <w:sz w:val="24"/>
          <w:szCs w:val="24"/>
        </w:rPr>
      </w:pPr>
      <w:r>
        <w:rPr>
          <w:rFonts w:ascii="Arial" w:eastAsia="Arial" w:hAnsi="Arial" w:cs="Arial"/>
          <w:sz w:val="24"/>
          <w:szCs w:val="24"/>
        </w:rPr>
        <w:t xml:space="preserve">The Authority will operate a Framework Contract management process. It will principally involve the management of the Framework and will also have the following roles: </w:t>
      </w:r>
    </w:p>
    <w:p w:rsidR="007D44AC" w:rsidRDefault="00DD0FA5">
      <w:pPr>
        <w:numPr>
          <w:ilvl w:val="3"/>
          <w:numId w:val="5"/>
        </w:numPr>
        <w:tabs>
          <w:tab w:val="left" w:pos="1134"/>
        </w:tabs>
        <w:spacing w:line="240" w:lineRule="auto"/>
        <w:rPr>
          <w:sz w:val="24"/>
          <w:szCs w:val="24"/>
        </w:rPr>
      </w:pPr>
      <w:r>
        <w:rPr>
          <w:rFonts w:ascii="Arial" w:eastAsia="Arial" w:hAnsi="Arial" w:cs="Arial"/>
          <w:sz w:val="24"/>
          <w:szCs w:val="24"/>
        </w:rPr>
        <w:t xml:space="preserve">collection of the Management Charge; </w:t>
      </w:r>
    </w:p>
    <w:p w:rsidR="007D44AC" w:rsidRDefault="00DD0FA5">
      <w:pPr>
        <w:numPr>
          <w:ilvl w:val="3"/>
          <w:numId w:val="5"/>
        </w:numPr>
        <w:tabs>
          <w:tab w:val="left" w:pos="1134"/>
        </w:tabs>
        <w:spacing w:line="240" w:lineRule="auto"/>
        <w:rPr>
          <w:sz w:val="24"/>
          <w:szCs w:val="24"/>
        </w:rPr>
      </w:pPr>
      <w:r>
        <w:rPr>
          <w:rFonts w:ascii="Arial" w:eastAsia="Arial" w:hAnsi="Arial" w:cs="Arial"/>
          <w:sz w:val="24"/>
          <w:szCs w:val="24"/>
        </w:rPr>
        <w:t xml:space="preserve">collection and reporting of Management Information (MI) and Key Performance Indicators (KPIs) under the Framework Contract; </w:t>
      </w:r>
    </w:p>
    <w:p w:rsidR="007D44AC" w:rsidRDefault="00DD0FA5">
      <w:pPr>
        <w:numPr>
          <w:ilvl w:val="3"/>
          <w:numId w:val="5"/>
        </w:numPr>
        <w:tabs>
          <w:tab w:val="left" w:pos="1134"/>
        </w:tabs>
        <w:spacing w:line="240" w:lineRule="auto"/>
        <w:rPr>
          <w:sz w:val="24"/>
          <w:szCs w:val="24"/>
        </w:rPr>
      </w:pPr>
      <w:r>
        <w:rPr>
          <w:rFonts w:ascii="Arial" w:eastAsia="Arial" w:hAnsi="Arial" w:cs="Arial"/>
          <w:sz w:val="24"/>
          <w:szCs w:val="24"/>
        </w:rPr>
        <w:t xml:space="preserve">dealing with issues concerning Further Competitions and  Direct Awards; </w:t>
      </w:r>
    </w:p>
    <w:p w:rsidR="007D44AC" w:rsidRDefault="00DD0FA5">
      <w:pPr>
        <w:numPr>
          <w:ilvl w:val="3"/>
          <w:numId w:val="5"/>
        </w:numPr>
        <w:tabs>
          <w:tab w:val="left" w:pos="1134"/>
        </w:tabs>
        <w:spacing w:line="240" w:lineRule="auto"/>
        <w:rPr>
          <w:sz w:val="24"/>
          <w:szCs w:val="24"/>
        </w:rPr>
      </w:pPr>
      <w:r>
        <w:rPr>
          <w:rFonts w:ascii="Arial" w:eastAsia="Arial" w:hAnsi="Arial" w:cs="Arial"/>
          <w:sz w:val="24"/>
          <w:szCs w:val="24"/>
        </w:rPr>
        <w:t xml:space="preserve">general day to day Framework relationship management; and </w:t>
      </w:r>
    </w:p>
    <w:p w:rsidR="007D44AC" w:rsidRDefault="00DD0FA5">
      <w:pPr>
        <w:numPr>
          <w:ilvl w:val="3"/>
          <w:numId w:val="5"/>
        </w:numPr>
        <w:tabs>
          <w:tab w:val="left" w:pos="1134"/>
        </w:tabs>
        <w:spacing w:line="240" w:lineRule="auto"/>
        <w:rPr>
          <w:sz w:val="24"/>
          <w:szCs w:val="24"/>
        </w:rPr>
      </w:pPr>
      <w:r>
        <w:rPr>
          <w:rFonts w:ascii="Arial" w:eastAsia="Arial" w:hAnsi="Arial" w:cs="Arial"/>
          <w:sz w:val="24"/>
          <w:szCs w:val="24"/>
        </w:rPr>
        <w:t>the provision of performance management</w:t>
      </w:r>
      <w:r w:rsidR="00CD6D51">
        <w:rPr>
          <w:rFonts w:ascii="Arial" w:eastAsia="Arial" w:hAnsi="Arial" w:cs="Arial"/>
          <w:sz w:val="24"/>
          <w:szCs w:val="24"/>
        </w:rPr>
        <w:t xml:space="preserve"> </w:t>
      </w:r>
      <w:r>
        <w:rPr>
          <w:rFonts w:ascii="Arial" w:eastAsia="Arial" w:hAnsi="Arial" w:cs="Arial"/>
          <w:sz w:val="24"/>
          <w:szCs w:val="24"/>
        </w:rPr>
        <w:t xml:space="preserve">information. </w:t>
      </w:r>
    </w:p>
    <w:p w:rsidR="007D44AC" w:rsidRDefault="00DD0FA5">
      <w:pPr>
        <w:numPr>
          <w:ilvl w:val="2"/>
          <w:numId w:val="5"/>
        </w:numPr>
        <w:tabs>
          <w:tab w:val="left" w:pos="1134"/>
        </w:tabs>
        <w:spacing w:line="240" w:lineRule="auto"/>
        <w:rPr>
          <w:sz w:val="24"/>
          <w:szCs w:val="24"/>
        </w:rPr>
      </w:pPr>
      <w:r>
        <w:rPr>
          <w:rFonts w:ascii="Arial" w:eastAsia="Arial" w:hAnsi="Arial" w:cs="Arial"/>
          <w:sz w:val="24"/>
          <w:szCs w:val="24"/>
        </w:rPr>
        <w:t xml:space="preserve">The Supplier must nominate an appropriate representative to act as a day-to-day contact in the provision of this information to the Authority. </w:t>
      </w:r>
    </w:p>
    <w:p w:rsidR="007D44AC" w:rsidRDefault="00DD0FA5">
      <w:pPr>
        <w:numPr>
          <w:ilvl w:val="2"/>
          <w:numId w:val="5"/>
        </w:numPr>
        <w:tabs>
          <w:tab w:val="left" w:pos="1134"/>
        </w:tabs>
        <w:spacing w:line="240" w:lineRule="auto"/>
        <w:rPr>
          <w:sz w:val="24"/>
          <w:szCs w:val="24"/>
        </w:rPr>
      </w:pPr>
      <w:r>
        <w:rPr>
          <w:rFonts w:ascii="Arial" w:eastAsia="Arial" w:hAnsi="Arial" w:cs="Arial"/>
          <w:sz w:val="24"/>
          <w:szCs w:val="24"/>
        </w:rPr>
        <w:t xml:space="preserve">The Supplier’s nominated representatives shall attend periodic review meetings which will be determined by the Authority’s representative. The purpose of such review meetings will be to report on and check the monitoring standards and performance of the Supplier, resolve any issues which have not been dealt with on a day to day basis, and discuss business opportunities, potential innovative solutions and any complaints. </w:t>
      </w:r>
    </w:p>
    <w:p w:rsidR="007D44AC" w:rsidRDefault="00DD0FA5">
      <w:pPr>
        <w:numPr>
          <w:ilvl w:val="2"/>
          <w:numId w:val="5"/>
        </w:numPr>
        <w:tabs>
          <w:tab w:val="left" w:pos="1134"/>
        </w:tabs>
        <w:spacing w:line="240" w:lineRule="auto"/>
        <w:rPr>
          <w:sz w:val="24"/>
          <w:szCs w:val="24"/>
        </w:rPr>
      </w:pPr>
      <w:r>
        <w:rPr>
          <w:rFonts w:ascii="Arial" w:eastAsia="Arial" w:hAnsi="Arial" w:cs="Arial"/>
          <w:sz w:val="24"/>
          <w:szCs w:val="24"/>
        </w:rPr>
        <w:t xml:space="preserve">The Supplier must immediately provide the Authority with a written report where service and/or performance falls below the required level. The report shall detail the remediation measures that have been put in place to prevent a re-occurrence of such service and/or performance failure. </w:t>
      </w:r>
    </w:p>
    <w:p w:rsidR="007D44AC" w:rsidRDefault="00DD0FA5">
      <w:pPr>
        <w:numPr>
          <w:ilvl w:val="2"/>
          <w:numId w:val="5"/>
        </w:numPr>
        <w:tabs>
          <w:tab w:val="left" w:pos="1134"/>
        </w:tabs>
        <w:spacing w:line="240" w:lineRule="auto"/>
        <w:rPr>
          <w:rFonts w:ascii="Arial" w:eastAsia="Arial" w:hAnsi="Arial" w:cs="Arial"/>
          <w:sz w:val="24"/>
          <w:szCs w:val="24"/>
        </w:rPr>
      </w:pPr>
      <w:r>
        <w:rPr>
          <w:rFonts w:ascii="Arial" w:eastAsia="Arial" w:hAnsi="Arial" w:cs="Arial"/>
          <w:sz w:val="24"/>
          <w:szCs w:val="24"/>
        </w:rPr>
        <w:t>In addition to the above, there the Supplier accepts an order from another Buyer, the Supplier must notify D</w:t>
      </w:r>
      <w:r w:rsidR="00356DBA">
        <w:rPr>
          <w:rFonts w:ascii="Arial" w:eastAsia="Arial" w:hAnsi="Arial" w:cs="Arial"/>
          <w:sz w:val="24"/>
          <w:szCs w:val="24"/>
        </w:rPr>
        <w:t>IT</w:t>
      </w:r>
      <w:r>
        <w:rPr>
          <w:rFonts w:ascii="Arial" w:eastAsia="Arial" w:hAnsi="Arial" w:cs="Arial"/>
          <w:sz w:val="24"/>
          <w:szCs w:val="24"/>
        </w:rPr>
        <w:t xml:space="preserve"> as the principal Buyer within 48 hours to help ensure an aligned approach within the UK government as a whole.</w:t>
      </w:r>
    </w:p>
    <w:p w:rsidR="00356DBA" w:rsidRDefault="00356DBA">
      <w:pPr>
        <w:numPr>
          <w:ilvl w:val="2"/>
          <w:numId w:val="5"/>
        </w:numPr>
        <w:tabs>
          <w:tab w:val="left" w:pos="1134"/>
        </w:tabs>
        <w:spacing w:line="240" w:lineRule="auto"/>
        <w:rPr>
          <w:rFonts w:ascii="Arial" w:eastAsia="Arial" w:hAnsi="Arial" w:cs="Arial"/>
          <w:sz w:val="24"/>
          <w:szCs w:val="24"/>
        </w:rPr>
      </w:pPr>
      <w:r>
        <w:rPr>
          <w:rFonts w:ascii="Arial" w:eastAsia="Arial" w:hAnsi="Arial" w:cs="Arial"/>
          <w:sz w:val="24"/>
          <w:szCs w:val="24"/>
        </w:rPr>
        <w:t xml:space="preserve">Further details in relation to the Framework Contract Management requirements are contained within Framework Schedule 4 (Framework Management). </w:t>
      </w:r>
    </w:p>
    <w:p w:rsidR="007D44AC" w:rsidRDefault="00DD0FA5">
      <w:pPr>
        <w:numPr>
          <w:ilvl w:val="1"/>
          <w:numId w:val="5"/>
        </w:numPr>
        <w:tabs>
          <w:tab w:val="left" w:pos="1134"/>
        </w:tabs>
        <w:spacing w:line="240" w:lineRule="auto"/>
        <w:rPr>
          <w:sz w:val="24"/>
          <w:szCs w:val="24"/>
        </w:rPr>
      </w:pPr>
      <w:r>
        <w:rPr>
          <w:rFonts w:ascii="Arial" w:eastAsia="Arial" w:hAnsi="Arial" w:cs="Arial"/>
          <w:b/>
          <w:sz w:val="24"/>
          <w:szCs w:val="24"/>
        </w:rPr>
        <w:t>Value Added Service Requirements</w:t>
      </w:r>
    </w:p>
    <w:p w:rsidR="007D44AC" w:rsidRDefault="00DD0FA5">
      <w:pPr>
        <w:tabs>
          <w:tab w:val="left" w:pos="1134"/>
        </w:tabs>
        <w:spacing w:line="240" w:lineRule="auto"/>
        <w:ind w:left="720"/>
        <w:rPr>
          <w:rFonts w:ascii="Arial" w:eastAsia="Arial" w:hAnsi="Arial" w:cs="Arial"/>
          <w:b/>
          <w:sz w:val="24"/>
          <w:szCs w:val="24"/>
        </w:rPr>
      </w:pPr>
      <w:r>
        <w:rPr>
          <w:rFonts w:ascii="Arial" w:eastAsia="Arial" w:hAnsi="Arial" w:cs="Arial"/>
          <w:sz w:val="24"/>
          <w:szCs w:val="24"/>
        </w:rPr>
        <w:t>Suppliers must provide as a minimum, the following additional services at Framework level (the “Value Added Services”) at no additional charge to any Buyer:</w:t>
      </w:r>
      <w:r>
        <w:rPr>
          <w:rFonts w:ascii="Arial" w:eastAsia="Arial" w:hAnsi="Arial" w:cs="Arial"/>
          <w:strike/>
          <w:color w:val="0078D4"/>
          <w:sz w:val="24"/>
          <w:szCs w:val="24"/>
        </w:rPr>
        <w:t xml:space="preserve"> </w:t>
      </w:r>
    </w:p>
    <w:p w:rsidR="007D44AC" w:rsidRDefault="00DD0FA5">
      <w:pPr>
        <w:numPr>
          <w:ilvl w:val="2"/>
          <w:numId w:val="5"/>
        </w:numPr>
        <w:tabs>
          <w:tab w:val="left" w:pos="1134"/>
        </w:tabs>
        <w:spacing w:line="240" w:lineRule="auto"/>
        <w:rPr>
          <w:sz w:val="24"/>
          <w:szCs w:val="24"/>
        </w:rPr>
      </w:pPr>
      <w:r>
        <w:rPr>
          <w:rFonts w:ascii="Arial" w:eastAsia="Arial" w:hAnsi="Arial" w:cs="Arial"/>
          <w:b/>
          <w:sz w:val="24"/>
          <w:szCs w:val="24"/>
        </w:rPr>
        <w:lastRenderedPageBreak/>
        <w:t xml:space="preserve">Training  </w:t>
      </w:r>
    </w:p>
    <w:p w:rsidR="007D44AC" w:rsidRDefault="00DD0FA5">
      <w:pPr>
        <w:numPr>
          <w:ilvl w:val="3"/>
          <w:numId w:val="5"/>
        </w:numPr>
        <w:tabs>
          <w:tab w:val="left" w:pos="1134"/>
        </w:tabs>
        <w:spacing w:line="240" w:lineRule="auto"/>
        <w:rPr>
          <w:sz w:val="24"/>
          <w:szCs w:val="24"/>
        </w:rPr>
      </w:pPr>
      <w:r>
        <w:rPr>
          <w:rFonts w:ascii="Arial" w:eastAsia="Arial" w:hAnsi="Arial" w:cs="Arial"/>
          <w:sz w:val="24"/>
          <w:szCs w:val="24"/>
        </w:rPr>
        <w:t xml:space="preserve">Each Supplier must make available to Buyers (in aggregate) under this Framework, a minimum of ten (10) hours training per annum. Five (5) hours of this will be reserved for use by DIT as the principal Buyer. </w:t>
      </w:r>
    </w:p>
    <w:p w:rsidR="007D44AC" w:rsidRDefault="00DD0FA5">
      <w:pPr>
        <w:numPr>
          <w:ilvl w:val="3"/>
          <w:numId w:val="5"/>
        </w:numPr>
        <w:tabs>
          <w:tab w:val="left" w:pos="1134"/>
        </w:tabs>
        <w:spacing w:line="240" w:lineRule="auto"/>
        <w:rPr>
          <w:sz w:val="24"/>
          <w:szCs w:val="24"/>
        </w:rPr>
      </w:pPr>
      <w:r>
        <w:rPr>
          <w:rFonts w:ascii="Arial" w:eastAsia="Arial" w:hAnsi="Arial" w:cs="Arial"/>
          <w:sz w:val="24"/>
          <w:szCs w:val="24"/>
        </w:rPr>
        <w:t>This training may be bespoke or selected from the Supplier’s current portfolio of training provision and may be provided through various channels including but not limited to: videoconferencing, e-learning, webinars and toolkits, as may be arranged between the Buyer and Supplier.</w:t>
      </w:r>
      <w:r>
        <w:rPr>
          <w:rFonts w:ascii="Arial" w:eastAsia="Arial" w:hAnsi="Arial" w:cs="Arial"/>
          <w:b/>
          <w:sz w:val="24"/>
          <w:szCs w:val="24"/>
        </w:rPr>
        <w:t xml:space="preserve"> </w:t>
      </w:r>
    </w:p>
    <w:p w:rsidR="007D44AC" w:rsidRDefault="00DD0FA5">
      <w:pPr>
        <w:numPr>
          <w:ilvl w:val="3"/>
          <w:numId w:val="5"/>
        </w:numPr>
        <w:tabs>
          <w:tab w:val="left" w:pos="1134"/>
        </w:tabs>
        <w:spacing w:line="240" w:lineRule="auto"/>
        <w:rPr>
          <w:sz w:val="24"/>
          <w:szCs w:val="24"/>
        </w:rPr>
      </w:pPr>
      <w:r>
        <w:rPr>
          <w:rFonts w:ascii="Arial" w:eastAsia="Arial" w:hAnsi="Arial" w:cs="Arial"/>
          <w:sz w:val="24"/>
          <w:szCs w:val="24"/>
        </w:rPr>
        <w:t>This minimum requirement does not prevent other training being offered or arranged.</w:t>
      </w:r>
    </w:p>
    <w:p w:rsidR="007D44AC" w:rsidRDefault="00DD0FA5">
      <w:pPr>
        <w:numPr>
          <w:ilvl w:val="0"/>
          <w:numId w:val="5"/>
        </w:numPr>
        <w:tabs>
          <w:tab w:val="left" w:pos="1134"/>
        </w:tabs>
        <w:spacing w:line="240" w:lineRule="auto"/>
        <w:rPr>
          <w:b/>
          <w:sz w:val="24"/>
          <w:szCs w:val="24"/>
          <w:highlight w:val="white"/>
        </w:rPr>
      </w:pPr>
      <w:r>
        <w:rPr>
          <w:rFonts w:ascii="Arial" w:eastAsia="Arial" w:hAnsi="Arial" w:cs="Arial"/>
          <w:b/>
          <w:sz w:val="24"/>
          <w:szCs w:val="24"/>
          <w:highlight w:val="white"/>
        </w:rPr>
        <w:t>Social Value</w:t>
      </w:r>
    </w:p>
    <w:p w:rsidR="007D44AC" w:rsidRDefault="00DD0FA5">
      <w:pPr>
        <w:numPr>
          <w:ilvl w:val="1"/>
          <w:numId w:val="5"/>
        </w:numPr>
        <w:tabs>
          <w:tab w:val="left" w:pos="1134"/>
        </w:tabs>
        <w:spacing w:line="240" w:lineRule="auto"/>
        <w:rPr>
          <w:sz w:val="24"/>
          <w:szCs w:val="24"/>
          <w:highlight w:val="white"/>
        </w:rPr>
      </w:pPr>
      <w:r>
        <w:rPr>
          <w:rFonts w:ascii="Arial" w:eastAsia="Arial" w:hAnsi="Arial" w:cs="Arial"/>
          <w:sz w:val="24"/>
          <w:szCs w:val="24"/>
          <w:highlight w:val="white"/>
        </w:rPr>
        <w:t>These are our priorities in this procurement:</w:t>
      </w:r>
    </w:p>
    <w:p w:rsidR="007D44AC" w:rsidRDefault="00DD0FA5">
      <w:pPr>
        <w:numPr>
          <w:ilvl w:val="2"/>
          <w:numId w:val="5"/>
        </w:numPr>
        <w:tabs>
          <w:tab w:val="left" w:pos="1134"/>
        </w:tabs>
        <w:spacing w:line="240" w:lineRule="auto"/>
        <w:rPr>
          <w:sz w:val="24"/>
          <w:szCs w:val="24"/>
          <w:highlight w:val="white"/>
        </w:rPr>
      </w:pPr>
      <w:r>
        <w:rPr>
          <w:rFonts w:ascii="Arial" w:eastAsia="Arial" w:hAnsi="Arial" w:cs="Arial"/>
          <w:sz w:val="24"/>
          <w:szCs w:val="24"/>
          <w:highlight w:val="white"/>
        </w:rPr>
        <w:t>Inclusive and diverse teams providing and managing the provision of legal services under the agreement</w:t>
      </w:r>
    </w:p>
    <w:p w:rsidR="007D44AC" w:rsidRDefault="00DD0FA5">
      <w:pPr>
        <w:numPr>
          <w:ilvl w:val="3"/>
          <w:numId w:val="5"/>
        </w:numPr>
        <w:tabs>
          <w:tab w:val="left" w:pos="1134"/>
        </w:tabs>
        <w:spacing w:line="240" w:lineRule="auto"/>
        <w:rPr>
          <w:sz w:val="24"/>
          <w:szCs w:val="24"/>
          <w:highlight w:val="white"/>
        </w:rPr>
      </w:pPr>
      <w:r>
        <w:rPr>
          <w:rFonts w:ascii="Arial" w:eastAsia="Arial" w:hAnsi="Arial" w:cs="Arial"/>
          <w:sz w:val="24"/>
          <w:szCs w:val="24"/>
          <w:highlight w:val="white"/>
        </w:rPr>
        <w:t>with the aim of improved gender balance</w:t>
      </w:r>
    </w:p>
    <w:p w:rsidR="007D44AC" w:rsidRDefault="00DD0FA5">
      <w:pPr>
        <w:numPr>
          <w:ilvl w:val="2"/>
          <w:numId w:val="5"/>
        </w:numPr>
        <w:tabs>
          <w:tab w:val="left" w:pos="1134"/>
        </w:tabs>
        <w:spacing w:line="240" w:lineRule="auto"/>
        <w:rPr>
          <w:sz w:val="24"/>
          <w:szCs w:val="24"/>
          <w:highlight w:val="white"/>
        </w:rPr>
      </w:pPr>
      <w:r>
        <w:rPr>
          <w:rFonts w:ascii="Arial" w:eastAsia="Arial" w:hAnsi="Arial" w:cs="Arial"/>
          <w:sz w:val="24"/>
          <w:szCs w:val="24"/>
          <w:highlight w:val="white"/>
        </w:rPr>
        <w:t>Appropriate consideration of the mental health and well-being of those providing and managing the provision of legal services under the agreement</w:t>
      </w:r>
    </w:p>
    <w:p w:rsidR="007D44AC" w:rsidRDefault="00DD0FA5">
      <w:pPr>
        <w:numPr>
          <w:ilvl w:val="3"/>
          <w:numId w:val="5"/>
        </w:numPr>
        <w:tabs>
          <w:tab w:val="left" w:pos="1134"/>
        </w:tabs>
        <w:spacing w:line="240" w:lineRule="auto"/>
        <w:rPr>
          <w:sz w:val="24"/>
          <w:szCs w:val="24"/>
          <w:highlight w:val="white"/>
        </w:rPr>
      </w:pPr>
      <w:r>
        <w:rPr>
          <w:rFonts w:ascii="Arial" w:eastAsia="Arial" w:hAnsi="Arial" w:cs="Arial"/>
          <w:sz w:val="24"/>
          <w:szCs w:val="24"/>
          <w:highlight w:val="white"/>
        </w:rPr>
        <w:t>with the aim of improved staff mental health and well-being</w:t>
      </w:r>
    </w:p>
    <w:p w:rsidR="007D44AC" w:rsidRDefault="00DD0FA5">
      <w:pPr>
        <w:numPr>
          <w:ilvl w:val="1"/>
          <w:numId w:val="5"/>
        </w:numPr>
        <w:tabs>
          <w:tab w:val="left" w:pos="1134"/>
        </w:tabs>
        <w:spacing w:line="240" w:lineRule="auto"/>
        <w:rPr>
          <w:sz w:val="24"/>
          <w:szCs w:val="24"/>
          <w:highlight w:val="white"/>
        </w:rPr>
      </w:pPr>
      <w:r>
        <w:rPr>
          <w:rFonts w:ascii="Arial" w:eastAsia="Arial" w:hAnsi="Arial" w:cs="Arial"/>
          <w:sz w:val="24"/>
          <w:szCs w:val="24"/>
          <w:highlight w:val="white"/>
        </w:rPr>
        <w:t>Suppliers are expected to act with these priorities in mind, and the Authority may discuss these priorities as part of Framework Management meetings.</w:t>
      </w:r>
    </w:p>
    <w:p w:rsidR="007D44AC" w:rsidRDefault="00DD0FA5">
      <w:pPr>
        <w:numPr>
          <w:ilvl w:val="1"/>
          <w:numId w:val="5"/>
        </w:numPr>
        <w:tabs>
          <w:tab w:val="left" w:pos="1134"/>
        </w:tabs>
        <w:spacing w:line="240" w:lineRule="auto"/>
        <w:rPr>
          <w:sz w:val="24"/>
          <w:szCs w:val="24"/>
          <w:highlight w:val="white"/>
        </w:rPr>
      </w:pPr>
      <w:r>
        <w:rPr>
          <w:rFonts w:ascii="Arial" w:eastAsia="Arial" w:hAnsi="Arial" w:cs="Arial"/>
          <w:sz w:val="24"/>
          <w:szCs w:val="24"/>
          <w:highlight w:val="white"/>
        </w:rPr>
        <w:t>The buyer can identify specific social value priorities at call-off.</w:t>
      </w:r>
    </w:p>
    <w:p w:rsidR="007D44AC" w:rsidRPr="00215CBE" w:rsidRDefault="00DD0FA5">
      <w:pPr>
        <w:numPr>
          <w:ilvl w:val="0"/>
          <w:numId w:val="5"/>
        </w:numPr>
        <w:tabs>
          <w:tab w:val="left" w:pos="1134"/>
        </w:tabs>
        <w:spacing w:line="240" w:lineRule="auto"/>
        <w:rPr>
          <w:b/>
          <w:sz w:val="24"/>
          <w:szCs w:val="24"/>
        </w:rPr>
      </w:pPr>
      <w:r w:rsidRPr="00215CBE">
        <w:rPr>
          <w:rFonts w:ascii="Arial" w:eastAsia="Arial" w:hAnsi="Arial" w:cs="Arial"/>
          <w:b/>
          <w:sz w:val="24"/>
          <w:szCs w:val="24"/>
        </w:rPr>
        <w:t>Indexation of Pricing in Response to Foreign Exchange Rates</w:t>
      </w:r>
    </w:p>
    <w:p w:rsidR="007D44AC" w:rsidRDefault="00DD0FA5">
      <w:pPr>
        <w:numPr>
          <w:ilvl w:val="1"/>
          <w:numId w:val="5"/>
        </w:numPr>
        <w:tabs>
          <w:tab w:val="left" w:pos="1134"/>
        </w:tabs>
        <w:spacing w:line="240" w:lineRule="auto"/>
        <w:rPr>
          <w:sz w:val="24"/>
          <w:szCs w:val="24"/>
          <w:highlight w:val="white"/>
        </w:rPr>
      </w:pPr>
      <w:r>
        <w:rPr>
          <w:rFonts w:ascii="Arial" w:eastAsia="Arial" w:hAnsi="Arial" w:cs="Arial"/>
          <w:sz w:val="24"/>
          <w:szCs w:val="24"/>
          <w:highlight w:val="white"/>
        </w:rPr>
        <w:t>Pricing for Services delivered under this Framework will be in Pounds Sterling (GBP).</w:t>
      </w:r>
    </w:p>
    <w:p w:rsidR="007D44AC" w:rsidRDefault="00DD0FA5">
      <w:pPr>
        <w:numPr>
          <w:ilvl w:val="1"/>
          <w:numId w:val="5"/>
        </w:numPr>
        <w:tabs>
          <w:tab w:val="left" w:pos="1134"/>
        </w:tabs>
        <w:spacing w:line="240" w:lineRule="auto"/>
        <w:rPr>
          <w:sz w:val="24"/>
          <w:szCs w:val="24"/>
          <w:highlight w:val="white"/>
        </w:rPr>
      </w:pPr>
      <w:r>
        <w:rPr>
          <w:rFonts w:ascii="Arial" w:eastAsia="Arial" w:hAnsi="Arial" w:cs="Arial"/>
          <w:sz w:val="24"/>
          <w:szCs w:val="24"/>
          <w:highlight w:val="white"/>
        </w:rPr>
        <w:t>Given the international nature of Services provided under this contract, the Authority will permit the following mechanism for tracking either US Dollars (USD) or Euros (EUR) against GBP:</w:t>
      </w:r>
    </w:p>
    <w:p w:rsidR="007D44AC" w:rsidRDefault="00DD0FA5">
      <w:pPr>
        <w:numPr>
          <w:ilvl w:val="2"/>
          <w:numId w:val="5"/>
        </w:numPr>
        <w:tabs>
          <w:tab w:val="left" w:pos="1134"/>
        </w:tabs>
        <w:spacing w:line="240" w:lineRule="auto"/>
        <w:rPr>
          <w:rFonts w:ascii="Arial" w:eastAsia="Arial" w:hAnsi="Arial" w:cs="Arial"/>
          <w:sz w:val="24"/>
          <w:szCs w:val="24"/>
          <w:highlight w:val="white"/>
        </w:rPr>
      </w:pPr>
      <w:r>
        <w:rPr>
          <w:rFonts w:ascii="Arial" w:eastAsia="Arial" w:hAnsi="Arial" w:cs="Arial"/>
          <w:sz w:val="24"/>
          <w:szCs w:val="24"/>
          <w:highlight w:val="white"/>
        </w:rPr>
        <w:t xml:space="preserve">Three standard currency fluctuation thresholds will be used: 3%, 5%, and 10%. If over the previous 12 months, the average forex rate exceeds 3% in comparison to the forex rate at the Framework Start Date, then an automatic increase of 3% will be provided (and the same equivalent increase applies to each threshold). For the avoidance of doubt, only 3%, 5% or 10% automatic increases will be applied irrespective of whether the average forex rate over the previous 12 months has exceeded one threshold but not the </w:t>
      </w:r>
      <w:r>
        <w:rPr>
          <w:rFonts w:ascii="Arial" w:eastAsia="Arial" w:hAnsi="Arial" w:cs="Arial"/>
          <w:sz w:val="24"/>
          <w:szCs w:val="24"/>
          <w:highlight w:val="white"/>
        </w:rPr>
        <w:lastRenderedPageBreak/>
        <w:t>threshold above. The maximum rate increase will be 10%, excepting extreme events.​</w:t>
      </w:r>
    </w:p>
    <w:p w:rsidR="007D44AC" w:rsidRDefault="00DD0FA5">
      <w:pPr>
        <w:numPr>
          <w:ilvl w:val="2"/>
          <w:numId w:val="5"/>
        </w:numPr>
        <w:tabs>
          <w:tab w:val="left" w:pos="1134"/>
        </w:tabs>
        <w:spacing w:line="240" w:lineRule="auto"/>
        <w:rPr>
          <w:rFonts w:ascii="Arial" w:eastAsia="Arial" w:hAnsi="Arial" w:cs="Arial"/>
          <w:sz w:val="24"/>
          <w:szCs w:val="24"/>
          <w:highlight w:val="white"/>
        </w:rPr>
      </w:pPr>
      <w:r>
        <w:rPr>
          <w:rFonts w:ascii="Arial" w:eastAsia="Arial" w:hAnsi="Arial" w:cs="Arial"/>
          <w:sz w:val="24"/>
          <w:szCs w:val="24"/>
          <w:highlight w:val="white"/>
        </w:rPr>
        <w:t>An extreme events pressure release will also be included where USD or EUR increase 15% or more against GBP over a period of 3 months or more. An automatic rate increase will not be applied, but suppliers can apply for a temporary increase in maximum framework rates providing they are able to demonstrate sufficient justification in writing.​ The extreme events increase, if granted, would be time-limited and specified by the Authority.</w:t>
      </w:r>
    </w:p>
    <w:p w:rsidR="007D44AC" w:rsidRDefault="00DD0FA5">
      <w:pPr>
        <w:numPr>
          <w:ilvl w:val="2"/>
          <w:numId w:val="5"/>
        </w:numPr>
        <w:tabs>
          <w:tab w:val="left" w:pos="1134"/>
        </w:tabs>
        <w:spacing w:line="240" w:lineRule="auto"/>
        <w:rPr>
          <w:rFonts w:ascii="Arial" w:eastAsia="Arial" w:hAnsi="Arial" w:cs="Arial"/>
          <w:sz w:val="24"/>
          <w:szCs w:val="24"/>
          <w:highlight w:val="white"/>
        </w:rPr>
      </w:pPr>
      <w:r>
        <w:rPr>
          <w:rFonts w:ascii="Arial" w:eastAsia="Arial" w:hAnsi="Arial" w:cs="Arial"/>
          <w:sz w:val="24"/>
          <w:szCs w:val="24"/>
          <w:highlight w:val="white"/>
        </w:rPr>
        <w:t>Written evidence of the justification for the requested increase includes:</w:t>
      </w:r>
    </w:p>
    <w:p w:rsidR="007D44AC" w:rsidRDefault="00DD0FA5">
      <w:pPr>
        <w:numPr>
          <w:ilvl w:val="3"/>
          <w:numId w:val="5"/>
        </w:numPr>
        <w:tabs>
          <w:tab w:val="left" w:pos="1134"/>
        </w:tabs>
        <w:spacing w:line="240" w:lineRule="auto"/>
        <w:rPr>
          <w:rFonts w:ascii="Arial" w:eastAsia="Arial" w:hAnsi="Arial" w:cs="Arial"/>
          <w:sz w:val="24"/>
          <w:szCs w:val="24"/>
          <w:highlight w:val="white"/>
        </w:rPr>
      </w:pPr>
      <w:r>
        <w:rPr>
          <w:rFonts w:ascii="Arial" w:eastAsia="Arial" w:hAnsi="Arial" w:cs="Arial"/>
          <w:sz w:val="24"/>
          <w:szCs w:val="24"/>
          <w:highlight w:val="white"/>
        </w:rPr>
        <w:t xml:space="preserve">a breakdown of the profit and cost components that comprise the relevant Framework Price; </w:t>
      </w:r>
    </w:p>
    <w:p w:rsidR="007D44AC" w:rsidRDefault="00DD0FA5">
      <w:pPr>
        <w:numPr>
          <w:ilvl w:val="3"/>
          <w:numId w:val="5"/>
        </w:numPr>
        <w:tabs>
          <w:tab w:val="left" w:pos="1134"/>
        </w:tabs>
        <w:spacing w:line="240" w:lineRule="auto"/>
        <w:rPr>
          <w:rFonts w:ascii="Arial" w:eastAsia="Arial" w:hAnsi="Arial" w:cs="Arial"/>
          <w:sz w:val="24"/>
          <w:szCs w:val="24"/>
          <w:highlight w:val="white"/>
        </w:rPr>
      </w:pPr>
      <w:r>
        <w:rPr>
          <w:rFonts w:ascii="Arial" w:eastAsia="Arial" w:hAnsi="Arial" w:cs="Arial"/>
          <w:sz w:val="24"/>
          <w:szCs w:val="24"/>
          <w:highlight w:val="white"/>
        </w:rPr>
        <w:t>details of the movement in the different identified cost components of the relevant Framework Price;</w:t>
      </w:r>
    </w:p>
    <w:p w:rsidR="007D44AC" w:rsidRDefault="00DD0FA5">
      <w:pPr>
        <w:numPr>
          <w:ilvl w:val="3"/>
          <w:numId w:val="5"/>
        </w:numPr>
        <w:tabs>
          <w:tab w:val="left" w:pos="1134"/>
        </w:tabs>
        <w:spacing w:line="240" w:lineRule="auto"/>
        <w:rPr>
          <w:rFonts w:ascii="Arial" w:eastAsia="Arial" w:hAnsi="Arial" w:cs="Arial"/>
          <w:sz w:val="24"/>
          <w:szCs w:val="24"/>
          <w:highlight w:val="white"/>
        </w:rPr>
      </w:pPr>
      <w:r>
        <w:rPr>
          <w:rFonts w:ascii="Arial" w:eastAsia="Arial" w:hAnsi="Arial" w:cs="Arial"/>
          <w:sz w:val="24"/>
          <w:szCs w:val="24"/>
          <w:highlight w:val="white"/>
        </w:rPr>
        <w:t>reasons for the movement in the different identified cost components of the relevant Framework Price;</w:t>
      </w:r>
    </w:p>
    <w:p w:rsidR="007D44AC" w:rsidRDefault="00DD0FA5">
      <w:pPr>
        <w:numPr>
          <w:ilvl w:val="3"/>
          <w:numId w:val="5"/>
        </w:numPr>
        <w:tabs>
          <w:tab w:val="left" w:pos="1134"/>
        </w:tabs>
        <w:spacing w:line="240" w:lineRule="auto"/>
        <w:rPr>
          <w:rFonts w:ascii="Arial" w:eastAsia="Arial" w:hAnsi="Arial" w:cs="Arial"/>
          <w:sz w:val="24"/>
          <w:szCs w:val="24"/>
          <w:highlight w:val="white"/>
        </w:rPr>
      </w:pPr>
      <w:r>
        <w:rPr>
          <w:rFonts w:ascii="Arial" w:eastAsia="Arial" w:hAnsi="Arial" w:cs="Arial"/>
          <w:sz w:val="24"/>
          <w:szCs w:val="24"/>
          <w:highlight w:val="white"/>
        </w:rPr>
        <w:t>evidence that the Supplier has attempted to mitigate against the increase in the relevant cost components.</w:t>
      </w:r>
    </w:p>
    <w:p w:rsidR="007D44AC" w:rsidRDefault="00DD0FA5">
      <w:pPr>
        <w:numPr>
          <w:ilvl w:val="2"/>
          <w:numId w:val="5"/>
        </w:numPr>
        <w:tabs>
          <w:tab w:val="left" w:pos="1134"/>
        </w:tabs>
        <w:spacing w:line="240" w:lineRule="auto"/>
        <w:rPr>
          <w:rFonts w:ascii="Arial" w:eastAsia="Arial" w:hAnsi="Arial" w:cs="Arial"/>
          <w:sz w:val="24"/>
          <w:szCs w:val="24"/>
          <w:highlight w:val="white"/>
        </w:rPr>
      </w:pPr>
      <w:r>
        <w:rPr>
          <w:rFonts w:ascii="Arial" w:eastAsia="Arial" w:hAnsi="Arial" w:cs="Arial"/>
          <w:sz w:val="24"/>
          <w:szCs w:val="24"/>
          <w:highlight w:val="white"/>
        </w:rPr>
        <w:t>The average forex rate over the previous 12 months will be used to calculate the forex risk the Supplier is holding. Average annual exchange rate fluctuation will be calculated using Bank of England rates.​ The first review will take place on the first anniversary of the Framework Start Date, and on two further occasions at 12 month intervals.</w:t>
      </w:r>
    </w:p>
    <w:p w:rsidR="007D44AC" w:rsidRDefault="00DD0FA5">
      <w:pPr>
        <w:numPr>
          <w:ilvl w:val="2"/>
          <w:numId w:val="5"/>
        </w:numPr>
        <w:tabs>
          <w:tab w:val="left" w:pos="1134"/>
        </w:tabs>
        <w:spacing w:line="240" w:lineRule="auto"/>
        <w:rPr>
          <w:rFonts w:ascii="Arial" w:eastAsia="Arial" w:hAnsi="Arial" w:cs="Arial"/>
          <w:sz w:val="24"/>
          <w:szCs w:val="24"/>
          <w:highlight w:val="white"/>
        </w:rPr>
      </w:pPr>
      <w:r>
        <w:rPr>
          <w:rFonts w:ascii="Arial" w:eastAsia="Arial" w:hAnsi="Arial" w:cs="Arial"/>
          <w:sz w:val="24"/>
          <w:szCs w:val="24"/>
          <w:highlight w:val="white"/>
        </w:rPr>
        <w:t>Each year the rates will revert back to the original Framework rates unless the exchange rate threshold continues to be met or is further exceeded. Increases will not be cumulative so in normal circumstances will never exceed 10% of the original framework rates. ​</w:t>
      </w:r>
    </w:p>
    <w:p w:rsidR="007D44AC" w:rsidRDefault="00DD0FA5">
      <w:pPr>
        <w:numPr>
          <w:ilvl w:val="1"/>
          <w:numId w:val="5"/>
        </w:numPr>
        <w:tabs>
          <w:tab w:val="left" w:pos="1134"/>
        </w:tabs>
        <w:spacing w:line="240" w:lineRule="auto"/>
        <w:rPr>
          <w:sz w:val="24"/>
          <w:szCs w:val="24"/>
          <w:highlight w:val="white"/>
        </w:rPr>
      </w:pPr>
      <w:r>
        <w:rPr>
          <w:rFonts w:ascii="Arial" w:eastAsia="Arial" w:hAnsi="Arial" w:cs="Arial"/>
          <w:sz w:val="24"/>
          <w:szCs w:val="24"/>
          <w:highlight w:val="white"/>
        </w:rPr>
        <w:t>This mechanism is available to all suppliers regardless of their HQ location. Suppliers will select which currency (USD or EUR) to be tracked against at the beginning of the Framework Agreement and will not be able to switch currencies.​</w:t>
      </w:r>
    </w:p>
    <w:p w:rsidR="007D44AC" w:rsidRDefault="00DD0FA5">
      <w:pPr>
        <w:numPr>
          <w:ilvl w:val="1"/>
          <w:numId w:val="5"/>
        </w:numPr>
        <w:tabs>
          <w:tab w:val="left" w:pos="1134"/>
        </w:tabs>
        <w:spacing w:line="240" w:lineRule="auto"/>
        <w:rPr>
          <w:sz w:val="24"/>
          <w:szCs w:val="24"/>
          <w:highlight w:val="white"/>
        </w:rPr>
      </w:pPr>
      <w:r>
        <w:rPr>
          <w:rFonts w:ascii="Arial" w:eastAsia="Arial" w:hAnsi="Arial" w:cs="Arial"/>
          <w:sz w:val="24"/>
          <w:szCs w:val="24"/>
          <w:highlight w:val="white"/>
        </w:rPr>
        <w:t>Where the standard threshold is met, the increase to maximum rates under the Framework will be automatic for any Supplier being tracked against a currency that breaches the specified threshold.​</w:t>
      </w:r>
    </w:p>
    <w:p w:rsidR="007D44AC" w:rsidRDefault="00DD0FA5">
      <w:pPr>
        <w:numPr>
          <w:ilvl w:val="1"/>
          <w:numId w:val="5"/>
        </w:numPr>
        <w:tabs>
          <w:tab w:val="left" w:pos="1134"/>
        </w:tabs>
        <w:spacing w:line="240" w:lineRule="auto"/>
        <w:rPr>
          <w:sz w:val="24"/>
          <w:szCs w:val="24"/>
          <w:highlight w:val="white"/>
        </w:rPr>
      </w:pPr>
      <w:r>
        <w:rPr>
          <w:rFonts w:ascii="Arial" w:eastAsia="Arial" w:hAnsi="Arial" w:cs="Arial"/>
          <w:sz w:val="24"/>
          <w:szCs w:val="24"/>
          <w:highlight w:val="white"/>
        </w:rPr>
        <w:t>The rate increase applies only to the maximum rates that can be charged under the Framework, and shall not affect the rates payable by a Buyer under a Call-off Contract in force at the time the automatic increase is applied.</w:t>
      </w:r>
    </w:p>
    <w:p w:rsidR="007D44AC" w:rsidRDefault="00DD0FA5">
      <w:pPr>
        <w:numPr>
          <w:ilvl w:val="1"/>
          <w:numId w:val="5"/>
        </w:numPr>
        <w:tabs>
          <w:tab w:val="left" w:pos="1134"/>
        </w:tabs>
        <w:spacing w:line="240" w:lineRule="auto"/>
        <w:rPr>
          <w:sz w:val="24"/>
          <w:szCs w:val="24"/>
          <w:highlight w:val="white"/>
        </w:rPr>
      </w:pPr>
      <w:r>
        <w:rPr>
          <w:rFonts w:ascii="Arial" w:eastAsia="Arial" w:hAnsi="Arial" w:cs="Arial"/>
          <w:sz w:val="24"/>
          <w:szCs w:val="24"/>
          <w:highlight w:val="white"/>
        </w:rPr>
        <w:lastRenderedPageBreak/>
        <w:t>The following example is provided for illustrative purposes:</w:t>
      </w:r>
    </w:p>
    <w:p w:rsidR="007D44AC" w:rsidRDefault="00DD0FA5">
      <w:pPr>
        <w:numPr>
          <w:ilvl w:val="2"/>
          <w:numId w:val="5"/>
        </w:numPr>
        <w:tabs>
          <w:tab w:val="left" w:pos="1134"/>
        </w:tabs>
        <w:spacing w:line="240" w:lineRule="auto"/>
        <w:rPr>
          <w:rFonts w:ascii="Arial" w:eastAsia="Arial" w:hAnsi="Arial" w:cs="Arial"/>
          <w:sz w:val="24"/>
          <w:szCs w:val="24"/>
          <w:highlight w:val="white"/>
        </w:rPr>
      </w:pPr>
      <w:r>
        <w:rPr>
          <w:rFonts w:ascii="Arial" w:eastAsia="Arial" w:hAnsi="Arial" w:cs="Arial"/>
          <w:sz w:val="24"/>
          <w:szCs w:val="24"/>
          <w:highlight w:val="white"/>
        </w:rPr>
        <w:t xml:space="preserve">Using an example where the Framework commenced in January 2019 and the first annual review of rates was January 2020, the annual average strengthening of USD against GBP was 1.26% and was 3.3% for EUR. </w:t>
      </w:r>
    </w:p>
    <w:p w:rsidR="007D44AC" w:rsidRDefault="00DD0FA5">
      <w:pPr>
        <w:numPr>
          <w:ilvl w:val="2"/>
          <w:numId w:val="5"/>
        </w:numPr>
        <w:tabs>
          <w:tab w:val="left" w:pos="1134"/>
        </w:tabs>
        <w:spacing w:line="240" w:lineRule="auto"/>
        <w:rPr>
          <w:rFonts w:ascii="Arial" w:eastAsia="Arial" w:hAnsi="Arial" w:cs="Arial"/>
          <w:sz w:val="24"/>
          <w:szCs w:val="24"/>
          <w:highlight w:val="white"/>
        </w:rPr>
      </w:pPr>
      <w:r>
        <w:rPr>
          <w:rFonts w:ascii="Arial" w:eastAsia="Arial" w:hAnsi="Arial" w:cs="Arial"/>
          <w:sz w:val="24"/>
          <w:szCs w:val="24"/>
          <w:highlight w:val="white"/>
        </w:rPr>
        <w:t>On this basis, Suppliers being tracked against USD would receive no increase to their maximum Framework rates and Suppliers being tracked against EUR would receive an automatic increase of 3% to their maximum Framework rates. ​</w:t>
      </w:r>
    </w:p>
    <w:p w:rsidR="007D44AC" w:rsidRDefault="00DD0FA5">
      <w:pPr>
        <w:numPr>
          <w:ilvl w:val="2"/>
          <w:numId w:val="5"/>
        </w:numPr>
        <w:tabs>
          <w:tab w:val="left" w:pos="1134"/>
        </w:tabs>
        <w:spacing w:line="240" w:lineRule="auto"/>
        <w:rPr>
          <w:rFonts w:ascii="Arial" w:eastAsia="Arial" w:hAnsi="Arial" w:cs="Arial"/>
          <w:sz w:val="24"/>
          <w:szCs w:val="24"/>
          <w:highlight w:val="white"/>
        </w:rPr>
      </w:pPr>
      <w:r>
        <w:rPr>
          <w:rFonts w:ascii="Arial" w:eastAsia="Arial" w:hAnsi="Arial" w:cs="Arial"/>
          <w:sz w:val="24"/>
          <w:szCs w:val="24"/>
          <w:highlight w:val="white"/>
        </w:rPr>
        <w:t xml:space="preserve">On the following anniversary of the Framework Start Date in January 2021, the average monthly exchange rate for the period Feb 2020 – January 2021 would be reviewed for both currencies. </w:t>
      </w:r>
    </w:p>
    <w:p w:rsidR="007D44AC" w:rsidRDefault="00DD0FA5">
      <w:pPr>
        <w:numPr>
          <w:ilvl w:val="2"/>
          <w:numId w:val="5"/>
        </w:numPr>
        <w:tabs>
          <w:tab w:val="left" w:pos="1134"/>
        </w:tabs>
        <w:spacing w:line="240" w:lineRule="auto"/>
        <w:rPr>
          <w:rFonts w:ascii="Arial" w:eastAsia="Arial" w:hAnsi="Arial" w:cs="Arial"/>
          <w:sz w:val="24"/>
          <w:szCs w:val="24"/>
          <w:highlight w:val="white"/>
        </w:rPr>
      </w:pPr>
      <w:r>
        <w:rPr>
          <w:rFonts w:ascii="Arial" w:eastAsia="Arial" w:hAnsi="Arial" w:cs="Arial"/>
          <w:sz w:val="24"/>
          <w:szCs w:val="24"/>
          <w:highlight w:val="white"/>
        </w:rPr>
        <w:t>If the GBP to EUR increase against the initial exchange rate on Framework commencement was now below 3% then the rates for EUR tracked suppliers would revert back to the original Framework rates. If EUR had further strengthened against GBP and was now 6.6% then rates would automatically be increased by 5%.</w:t>
      </w:r>
    </w:p>
    <w:p w:rsidR="007D44AC" w:rsidRDefault="007D44AC">
      <w:pPr>
        <w:tabs>
          <w:tab w:val="left" w:pos="1134"/>
        </w:tabs>
        <w:spacing w:line="240" w:lineRule="auto"/>
        <w:rPr>
          <w:rFonts w:ascii="Arial" w:eastAsia="Arial" w:hAnsi="Arial" w:cs="Arial"/>
          <w:b/>
          <w:sz w:val="24"/>
          <w:szCs w:val="24"/>
        </w:rPr>
      </w:pPr>
    </w:p>
    <w:p w:rsidR="007D44AC" w:rsidRDefault="00DD0FA5">
      <w:pPr>
        <w:numPr>
          <w:ilvl w:val="0"/>
          <w:numId w:val="5"/>
        </w:numPr>
        <w:tabs>
          <w:tab w:val="left" w:pos="1134"/>
        </w:tabs>
        <w:spacing w:line="240" w:lineRule="auto"/>
        <w:rPr>
          <w:sz w:val="24"/>
          <w:szCs w:val="24"/>
        </w:rPr>
      </w:pPr>
      <w:r>
        <w:rPr>
          <w:rFonts w:ascii="Arial" w:eastAsia="Arial" w:hAnsi="Arial" w:cs="Arial"/>
          <w:b/>
          <w:sz w:val="24"/>
          <w:szCs w:val="24"/>
        </w:rPr>
        <w:t>Optional Services</w:t>
      </w:r>
    </w:p>
    <w:p w:rsidR="007D44AC" w:rsidRDefault="00DD0FA5">
      <w:pPr>
        <w:numPr>
          <w:ilvl w:val="1"/>
          <w:numId w:val="5"/>
        </w:numPr>
        <w:tabs>
          <w:tab w:val="left" w:pos="1134"/>
        </w:tabs>
        <w:spacing w:after="0" w:line="240" w:lineRule="auto"/>
        <w:rPr>
          <w:sz w:val="24"/>
          <w:szCs w:val="24"/>
        </w:rPr>
      </w:pPr>
      <w:r>
        <w:rPr>
          <w:rFonts w:ascii="Arial" w:eastAsia="Arial" w:hAnsi="Arial" w:cs="Arial"/>
          <w:sz w:val="24"/>
          <w:szCs w:val="24"/>
        </w:rPr>
        <w:t xml:space="preserve">This section sets out the Optional Specialisms that the Supplier may (if qualified and competent to do so) be required to perform upon request by Buyers. Where the Supplier has indicated in their Tender their ability to perform any of the Optional Specialisms, the Supplier must make the Optional Specialisms available to Buyers.   </w:t>
      </w:r>
    </w:p>
    <w:p w:rsidR="007D44AC" w:rsidRDefault="007D44AC">
      <w:pPr>
        <w:tabs>
          <w:tab w:val="left" w:pos="1134"/>
        </w:tabs>
        <w:spacing w:after="0" w:line="240" w:lineRule="auto"/>
        <w:ind w:left="1440"/>
        <w:rPr>
          <w:rFonts w:ascii="Arial" w:eastAsia="Arial" w:hAnsi="Arial" w:cs="Arial"/>
          <w:sz w:val="24"/>
          <w:szCs w:val="24"/>
        </w:rPr>
      </w:pPr>
    </w:p>
    <w:p w:rsidR="007D44AC" w:rsidRDefault="00DD0FA5">
      <w:pPr>
        <w:numPr>
          <w:ilvl w:val="1"/>
          <w:numId w:val="5"/>
        </w:numPr>
        <w:tabs>
          <w:tab w:val="left" w:pos="1134"/>
        </w:tabs>
        <w:spacing w:after="0" w:line="240" w:lineRule="auto"/>
        <w:rPr>
          <w:sz w:val="24"/>
          <w:szCs w:val="24"/>
        </w:rPr>
      </w:pPr>
      <w:r>
        <w:rPr>
          <w:rFonts w:ascii="Arial" w:eastAsia="Arial" w:hAnsi="Arial" w:cs="Arial"/>
          <w:sz w:val="24"/>
          <w:szCs w:val="24"/>
        </w:rPr>
        <w:t xml:space="preserve">Any Supplier who has indicated their ability to perform any of the Optional Specialisms must ensure that it (and the relevant Supplier Personnel) have the skills, qualifications and capability to provide legal advice to the Authority and/or the Buyer(s) for those Optional Specialisms. </w:t>
      </w:r>
    </w:p>
    <w:p w:rsidR="007D44AC" w:rsidRDefault="007D44AC">
      <w:pPr>
        <w:tabs>
          <w:tab w:val="left" w:pos="1134"/>
        </w:tabs>
        <w:spacing w:after="0" w:line="240" w:lineRule="auto"/>
        <w:ind w:left="1440"/>
        <w:rPr>
          <w:rFonts w:ascii="Arial" w:eastAsia="Arial" w:hAnsi="Arial" w:cs="Arial"/>
          <w:sz w:val="24"/>
          <w:szCs w:val="24"/>
        </w:rPr>
      </w:pPr>
    </w:p>
    <w:p w:rsidR="007D44AC" w:rsidRDefault="00DD0FA5">
      <w:pPr>
        <w:numPr>
          <w:ilvl w:val="1"/>
          <w:numId w:val="5"/>
        </w:numPr>
        <w:tabs>
          <w:tab w:val="left" w:pos="1134"/>
        </w:tabs>
        <w:spacing w:after="0" w:line="240" w:lineRule="auto"/>
        <w:rPr>
          <w:sz w:val="24"/>
          <w:szCs w:val="24"/>
        </w:rPr>
      </w:pPr>
      <w:r>
        <w:rPr>
          <w:rFonts w:ascii="Arial" w:eastAsia="Arial" w:hAnsi="Arial" w:cs="Arial"/>
          <w:sz w:val="24"/>
          <w:szCs w:val="24"/>
        </w:rPr>
        <w:t>Where the Supplier has indicated</w:t>
      </w:r>
      <w:r>
        <w:t>￼</w:t>
      </w:r>
      <w:r>
        <w:rPr>
          <w:rFonts w:ascii="Arial" w:eastAsia="Arial" w:hAnsi="Arial" w:cs="Arial"/>
          <w:sz w:val="24"/>
          <w:szCs w:val="24"/>
        </w:rPr>
        <w:t xml:space="preserve"> an ability to perform Value Added Services, the Supplier shall be required to perform those Value Added Services upon request by Buyers who have ordered Services under a Call-Off Contract with the Supplier.  </w:t>
      </w:r>
    </w:p>
    <w:p w:rsidR="007D44AC" w:rsidRDefault="007D44AC">
      <w:pPr>
        <w:tabs>
          <w:tab w:val="left" w:pos="1134"/>
        </w:tabs>
        <w:spacing w:after="0" w:line="240" w:lineRule="auto"/>
        <w:ind w:left="1440"/>
        <w:rPr>
          <w:rFonts w:ascii="Arial" w:eastAsia="Arial" w:hAnsi="Arial" w:cs="Arial"/>
          <w:sz w:val="24"/>
          <w:szCs w:val="24"/>
        </w:rPr>
      </w:pPr>
    </w:p>
    <w:p w:rsidR="007D44AC" w:rsidRDefault="00DD0FA5">
      <w:pPr>
        <w:numPr>
          <w:ilvl w:val="1"/>
          <w:numId w:val="5"/>
        </w:numPr>
        <w:tabs>
          <w:tab w:val="left" w:pos="1134"/>
        </w:tabs>
        <w:spacing w:line="240" w:lineRule="auto"/>
        <w:rPr>
          <w:sz w:val="24"/>
          <w:szCs w:val="24"/>
        </w:rPr>
      </w:pPr>
      <w:r>
        <w:rPr>
          <w:rFonts w:ascii="Arial" w:eastAsia="Arial" w:hAnsi="Arial" w:cs="Arial"/>
          <w:sz w:val="24"/>
          <w:szCs w:val="24"/>
        </w:rPr>
        <w:t xml:space="preserve">It is acknowledged and agreed that: </w:t>
      </w:r>
    </w:p>
    <w:p w:rsidR="007D44AC" w:rsidRDefault="00DD0FA5">
      <w:pPr>
        <w:numPr>
          <w:ilvl w:val="2"/>
          <w:numId w:val="5"/>
        </w:numPr>
        <w:tabs>
          <w:tab w:val="left" w:pos="1134"/>
        </w:tabs>
        <w:spacing w:line="240" w:lineRule="auto"/>
        <w:rPr>
          <w:sz w:val="24"/>
          <w:szCs w:val="24"/>
        </w:rPr>
      </w:pPr>
      <w:r>
        <w:rPr>
          <w:rFonts w:ascii="Arial" w:eastAsia="Arial" w:hAnsi="Arial" w:cs="Arial"/>
          <w:sz w:val="24"/>
          <w:szCs w:val="24"/>
        </w:rPr>
        <w:t xml:space="preserve">the Optional Specialisms may only be required by a Buyer in connection with a trade related matter;  </w:t>
      </w:r>
    </w:p>
    <w:p w:rsidR="007D44AC" w:rsidRDefault="00DD0FA5">
      <w:pPr>
        <w:numPr>
          <w:ilvl w:val="2"/>
          <w:numId w:val="5"/>
        </w:numPr>
        <w:tabs>
          <w:tab w:val="left" w:pos="1134"/>
        </w:tabs>
        <w:spacing w:line="240" w:lineRule="auto"/>
        <w:rPr>
          <w:sz w:val="24"/>
          <w:szCs w:val="24"/>
        </w:rPr>
      </w:pPr>
      <w:r>
        <w:rPr>
          <w:rFonts w:ascii="Arial" w:eastAsia="Arial" w:hAnsi="Arial" w:cs="Arial"/>
          <w:sz w:val="24"/>
          <w:szCs w:val="24"/>
        </w:rPr>
        <w:t xml:space="preserve">advice in respect of an optional Specialism may be required by a Buyer: </w:t>
      </w:r>
    </w:p>
    <w:p w:rsidR="007D44AC" w:rsidRDefault="00DD0FA5">
      <w:pPr>
        <w:numPr>
          <w:ilvl w:val="3"/>
          <w:numId w:val="5"/>
        </w:numPr>
        <w:tabs>
          <w:tab w:val="left" w:pos="1134"/>
        </w:tabs>
        <w:spacing w:line="240" w:lineRule="auto"/>
        <w:rPr>
          <w:sz w:val="24"/>
          <w:szCs w:val="24"/>
        </w:rPr>
      </w:pPr>
      <w:r>
        <w:rPr>
          <w:rFonts w:ascii="Arial" w:eastAsia="Arial" w:hAnsi="Arial" w:cs="Arial"/>
          <w:sz w:val="24"/>
          <w:szCs w:val="24"/>
        </w:rPr>
        <w:t xml:space="preserve">on a stand-alone basis in connection with a trade related matter; or </w:t>
      </w:r>
    </w:p>
    <w:p w:rsidR="007D44AC" w:rsidRDefault="00DD0FA5">
      <w:pPr>
        <w:numPr>
          <w:ilvl w:val="3"/>
          <w:numId w:val="5"/>
        </w:numPr>
        <w:tabs>
          <w:tab w:val="left" w:pos="1134"/>
        </w:tabs>
        <w:spacing w:line="240" w:lineRule="auto"/>
        <w:rPr>
          <w:sz w:val="24"/>
          <w:szCs w:val="24"/>
        </w:rPr>
      </w:pPr>
      <w:r>
        <w:rPr>
          <w:rFonts w:ascii="Arial" w:eastAsia="Arial" w:hAnsi="Arial" w:cs="Arial"/>
          <w:sz w:val="24"/>
          <w:szCs w:val="24"/>
        </w:rPr>
        <w:lastRenderedPageBreak/>
        <w:t xml:space="preserve">as part of a wider trade related matter including but not limited to drafting or advising on contractual provisions in circumstances where advice in respect of that Optional Specialism is required.  </w:t>
      </w:r>
    </w:p>
    <w:p w:rsidR="007D44AC" w:rsidRDefault="00DD0FA5">
      <w:pPr>
        <w:numPr>
          <w:ilvl w:val="1"/>
          <w:numId w:val="5"/>
        </w:numPr>
        <w:tabs>
          <w:tab w:val="left" w:pos="1134"/>
        </w:tabs>
        <w:spacing w:line="240" w:lineRule="auto"/>
        <w:rPr>
          <w:sz w:val="24"/>
          <w:szCs w:val="24"/>
        </w:rPr>
      </w:pPr>
      <w:r>
        <w:rPr>
          <w:rFonts w:ascii="Arial" w:eastAsia="Arial" w:hAnsi="Arial" w:cs="Arial"/>
          <w:b/>
          <w:sz w:val="24"/>
          <w:szCs w:val="24"/>
        </w:rPr>
        <w:t>Optional Specialisms: Lot 1 International Trade and Disputes</w:t>
      </w:r>
    </w:p>
    <w:p w:rsidR="007D44AC" w:rsidRDefault="00DD0FA5">
      <w:pPr>
        <w:numPr>
          <w:ilvl w:val="2"/>
          <w:numId w:val="5"/>
        </w:numPr>
        <w:tabs>
          <w:tab w:val="left" w:pos="1134"/>
        </w:tabs>
        <w:spacing w:line="240" w:lineRule="auto"/>
        <w:rPr>
          <w:sz w:val="24"/>
          <w:szCs w:val="24"/>
        </w:rPr>
      </w:pPr>
      <w:r>
        <w:rPr>
          <w:rFonts w:ascii="Arial" w:eastAsia="Arial" w:hAnsi="Arial" w:cs="Arial"/>
          <w:sz w:val="24"/>
          <w:szCs w:val="24"/>
        </w:rPr>
        <w:t xml:space="preserve">The Supplier must make any of the following Optional Specialisms available to Buyers under this </w:t>
      </w:r>
      <w:r w:rsidR="00AE1AD6">
        <w:rPr>
          <w:rFonts w:ascii="Arial" w:eastAsia="Arial" w:hAnsi="Arial" w:cs="Arial"/>
          <w:sz w:val="24"/>
          <w:szCs w:val="24"/>
        </w:rPr>
        <w:t>Framework</w:t>
      </w:r>
      <w:r>
        <w:rPr>
          <w:rFonts w:ascii="Arial" w:eastAsia="Arial" w:hAnsi="Arial" w:cs="Arial"/>
          <w:sz w:val="24"/>
          <w:szCs w:val="24"/>
        </w:rPr>
        <w:t xml:space="preserve"> if they have indicated the ability to do so as part of their Tender:  </w:t>
      </w:r>
    </w:p>
    <w:p w:rsidR="007D44AC" w:rsidRDefault="00DD0FA5">
      <w:pPr>
        <w:numPr>
          <w:ilvl w:val="3"/>
          <w:numId w:val="5"/>
        </w:numPr>
        <w:tabs>
          <w:tab w:val="left" w:pos="1134"/>
        </w:tabs>
        <w:spacing w:line="240" w:lineRule="auto"/>
        <w:rPr>
          <w:sz w:val="24"/>
          <w:szCs w:val="24"/>
        </w:rPr>
      </w:pPr>
      <w:r>
        <w:rPr>
          <w:rFonts w:ascii="Arial" w:eastAsia="Arial" w:hAnsi="Arial" w:cs="Arial"/>
          <w:sz w:val="24"/>
          <w:szCs w:val="24"/>
        </w:rPr>
        <w:t xml:space="preserve">Providing legal advice and services to the Buyer on international investment law, including handling investment disputes under international treaties.  </w:t>
      </w:r>
    </w:p>
    <w:p w:rsidR="007D44AC" w:rsidRDefault="00DD0FA5">
      <w:pPr>
        <w:numPr>
          <w:ilvl w:val="3"/>
          <w:numId w:val="5"/>
        </w:numPr>
        <w:tabs>
          <w:tab w:val="left" w:pos="1134"/>
        </w:tabs>
        <w:spacing w:line="240" w:lineRule="auto"/>
        <w:rPr>
          <w:sz w:val="24"/>
          <w:szCs w:val="24"/>
        </w:rPr>
      </w:pPr>
      <w:r>
        <w:rPr>
          <w:rFonts w:ascii="Arial" w:eastAsia="Arial" w:hAnsi="Arial" w:cs="Arial"/>
          <w:sz w:val="24"/>
          <w:szCs w:val="24"/>
        </w:rPr>
        <w:t xml:space="preserve">Providing legal advice and services to the Buyer on trade remedies investigations. </w:t>
      </w:r>
    </w:p>
    <w:p w:rsidR="007D44AC" w:rsidRDefault="00DD0FA5">
      <w:pPr>
        <w:numPr>
          <w:ilvl w:val="3"/>
          <w:numId w:val="5"/>
        </w:numPr>
        <w:tabs>
          <w:tab w:val="left" w:pos="1134"/>
        </w:tabs>
        <w:spacing w:line="240" w:lineRule="auto"/>
        <w:rPr>
          <w:rFonts w:ascii="Arial" w:eastAsia="Arial" w:hAnsi="Arial" w:cs="Arial"/>
          <w:sz w:val="24"/>
          <w:szCs w:val="24"/>
        </w:rPr>
      </w:pPr>
      <w:r>
        <w:rPr>
          <w:rFonts w:ascii="Arial" w:eastAsia="Arial" w:hAnsi="Arial" w:cs="Arial"/>
          <w:sz w:val="24"/>
          <w:szCs w:val="24"/>
        </w:rPr>
        <w:t>Providing legal advice in relation to recognition agreements and arrangements, participation agreements, and wider trading arrangements, relationships or instruments.</w:t>
      </w:r>
    </w:p>
    <w:p w:rsidR="007D44AC" w:rsidRDefault="00DD0FA5">
      <w:pPr>
        <w:numPr>
          <w:ilvl w:val="1"/>
          <w:numId w:val="5"/>
        </w:numPr>
        <w:tabs>
          <w:tab w:val="left" w:pos="1134"/>
        </w:tabs>
        <w:spacing w:line="240" w:lineRule="auto"/>
        <w:rPr>
          <w:sz w:val="24"/>
          <w:szCs w:val="24"/>
        </w:rPr>
      </w:pPr>
      <w:r>
        <w:rPr>
          <w:rFonts w:ascii="Arial" w:eastAsia="Arial" w:hAnsi="Arial" w:cs="Arial"/>
          <w:b/>
          <w:sz w:val="24"/>
          <w:szCs w:val="24"/>
        </w:rPr>
        <w:t xml:space="preserve">Optional Specialisms: Lot 2 International Trade and Negotiations </w:t>
      </w:r>
    </w:p>
    <w:p w:rsidR="007D44AC" w:rsidRDefault="00DD0FA5">
      <w:pPr>
        <w:numPr>
          <w:ilvl w:val="2"/>
          <w:numId w:val="5"/>
        </w:numPr>
        <w:tabs>
          <w:tab w:val="left" w:pos="1134"/>
        </w:tabs>
        <w:spacing w:line="240" w:lineRule="auto"/>
        <w:rPr>
          <w:sz w:val="24"/>
          <w:szCs w:val="24"/>
        </w:rPr>
      </w:pPr>
      <w:r>
        <w:rPr>
          <w:rFonts w:ascii="Arial" w:eastAsia="Arial" w:hAnsi="Arial" w:cs="Arial"/>
          <w:sz w:val="24"/>
          <w:szCs w:val="24"/>
        </w:rPr>
        <w:t xml:space="preserve">The Supplier must make any of the following Optional Specialisms available to Buyers under this </w:t>
      </w:r>
      <w:r w:rsidR="00AE1AD6">
        <w:rPr>
          <w:rFonts w:ascii="Arial" w:eastAsia="Arial" w:hAnsi="Arial" w:cs="Arial"/>
          <w:sz w:val="24"/>
          <w:szCs w:val="24"/>
        </w:rPr>
        <w:t>Framework</w:t>
      </w:r>
      <w:r>
        <w:rPr>
          <w:rFonts w:ascii="Arial" w:eastAsia="Arial" w:hAnsi="Arial" w:cs="Arial"/>
          <w:sz w:val="24"/>
          <w:szCs w:val="24"/>
        </w:rPr>
        <w:t xml:space="preserve"> if they have indicated the ability to do so as part of their Tender: </w:t>
      </w:r>
    </w:p>
    <w:p w:rsidR="007D44AC" w:rsidRDefault="00DD0FA5">
      <w:pPr>
        <w:numPr>
          <w:ilvl w:val="3"/>
          <w:numId w:val="5"/>
        </w:numPr>
        <w:tabs>
          <w:tab w:val="left" w:pos="1134"/>
        </w:tabs>
        <w:spacing w:line="240" w:lineRule="auto"/>
        <w:rPr>
          <w:sz w:val="24"/>
          <w:szCs w:val="24"/>
        </w:rPr>
      </w:pPr>
      <w:r>
        <w:rPr>
          <w:rFonts w:ascii="Arial" w:eastAsia="Arial" w:hAnsi="Arial" w:cs="Arial"/>
          <w:sz w:val="24"/>
          <w:szCs w:val="24"/>
        </w:rPr>
        <w:t xml:space="preserve">Providing legal advice on international investment law, including supporting the negotiation of international investment treaties and investment chapters of FTAs; </w:t>
      </w:r>
    </w:p>
    <w:p w:rsidR="007D44AC" w:rsidRDefault="00DD0FA5">
      <w:pPr>
        <w:numPr>
          <w:ilvl w:val="3"/>
          <w:numId w:val="5"/>
        </w:numPr>
        <w:tabs>
          <w:tab w:val="left" w:pos="1134"/>
        </w:tabs>
        <w:spacing w:line="240" w:lineRule="auto"/>
        <w:rPr>
          <w:sz w:val="24"/>
          <w:szCs w:val="24"/>
        </w:rPr>
      </w:pPr>
      <w:r>
        <w:rPr>
          <w:rFonts w:ascii="Arial" w:eastAsia="Arial" w:hAnsi="Arial" w:cs="Arial"/>
          <w:sz w:val="24"/>
          <w:szCs w:val="24"/>
        </w:rPr>
        <w:t xml:space="preserve">Providing legal advice on legal barriers to market access in the context of trade negotiations </w:t>
      </w:r>
    </w:p>
    <w:p w:rsidR="007D44AC" w:rsidRDefault="00DD0FA5">
      <w:pPr>
        <w:numPr>
          <w:ilvl w:val="3"/>
          <w:numId w:val="5"/>
        </w:numPr>
        <w:tabs>
          <w:tab w:val="left" w:pos="1134"/>
        </w:tabs>
        <w:spacing w:line="240" w:lineRule="auto"/>
        <w:rPr>
          <w:sz w:val="24"/>
          <w:szCs w:val="24"/>
        </w:rPr>
      </w:pPr>
      <w:r>
        <w:rPr>
          <w:rFonts w:ascii="Arial" w:eastAsia="Arial" w:hAnsi="Arial" w:cs="Arial"/>
          <w:sz w:val="24"/>
          <w:szCs w:val="24"/>
        </w:rPr>
        <w:t xml:space="preserve">Providing legal advice in the context of the negotiation and implementation of: recognition agreements and arrangements, participation agreements and wider trading arrangements, relationships or instruments. </w:t>
      </w:r>
    </w:p>
    <w:p w:rsidR="007D44AC" w:rsidRDefault="00DD0FA5">
      <w:pPr>
        <w:numPr>
          <w:ilvl w:val="3"/>
          <w:numId w:val="5"/>
        </w:numPr>
        <w:tabs>
          <w:tab w:val="left" w:pos="1134"/>
        </w:tabs>
        <w:spacing w:line="240" w:lineRule="auto"/>
        <w:rPr>
          <w:sz w:val="24"/>
          <w:szCs w:val="24"/>
        </w:rPr>
      </w:pPr>
      <w:r>
        <w:rPr>
          <w:rFonts w:ascii="Arial" w:eastAsia="Arial" w:hAnsi="Arial" w:cs="Arial"/>
          <w:sz w:val="24"/>
          <w:szCs w:val="24"/>
        </w:rPr>
        <w:t xml:space="preserve">Providing legal advice on international treaty law. </w:t>
      </w:r>
    </w:p>
    <w:p w:rsidR="007D44AC" w:rsidRDefault="00DD0FA5">
      <w:pPr>
        <w:numPr>
          <w:ilvl w:val="1"/>
          <w:numId w:val="5"/>
        </w:numPr>
        <w:tabs>
          <w:tab w:val="left" w:pos="1134"/>
        </w:tabs>
        <w:spacing w:line="240" w:lineRule="auto"/>
        <w:rPr>
          <w:sz w:val="24"/>
          <w:szCs w:val="24"/>
        </w:rPr>
      </w:pPr>
      <w:r>
        <w:rPr>
          <w:rFonts w:ascii="Arial" w:eastAsia="Arial" w:hAnsi="Arial" w:cs="Arial"/>
          <w:b/>
          <w:sz w:val="24"/>
          <w:szCs w:val="24"/>
        </w:rPr>
        <w:t>Optional Value Added Services</w:t>
      </w:r>
    </w:p>
    <w:p w:rsidR="007D44AC" w:rsidRDefault="00DD0FA5">
      <w:pPr>
        <w:numPr>
          <w:ilvl w:val="2"/>
          <w:numId w:val="5"/>
        </w:numPr>
        <w:tabs>
          <w:tab w:val="left" w:pos="1134"/>
        </w:tabs>
        <w:spacing w:line="240" w:lineRule="auto"/>
        <w:rPr>
          <w:sz w:val="24"/>
          <w:szCs w:val="24"/>
        </w:rPr>
      </w:pPr>
      <w:r>
        <w:rPr>
          <w:rFonts w:ascii="Arial" w:eastAsia="Arial" w:hAnsi="Arial" w:cs="Arial"/>
          <w:sz w:val="24"/>
          <w:szCs w:val="24"/>
        </w:rPr>
        <w:t xml:space="preserve">Secondments </w:t>
      </w:r>
    </w:p>
    <w:p w:rsidR="007D44AC" w:rsidRDefault="00DD0FA5">
      <w:pPr>
        <w:numPr>
          <w:ilvl w:val="3"/>
          <w:numId w:val="5"/>
        </w:numPr>
        <w:tabs>
          <w:tab w:val="left" w:pos="1134"/>
        </w:tabs>
        <w:spacing w:line="240" w:lineRule="auto"/>
        <w:rPr>
          <w:rFonts w:ascii="Arial" w:eastAsia="Arial" w:hAnsi="Arial" w:cs="Arial"/>
          <w:sz w:val="24"/>
          <w:szCs w:val="24"/>
        </w:rPr>
      </w:pPr>
      <w:r>
        <w:rPr>
          <w:rFonts w:ascii="Arial" w:eastAsia="Arial" w:hAnsi="Arial" w:cs="Arial"/>
          <w:sz w:val="24"/>
          <w:szCs w:val="24"/>
        </w:rPr>
        <w:t>Where the Supplier offers secondments as an opt</w:t>
      </w:r>
      <w:r w:rsidR="00706BE1">
        <w:rPr>
          <w:rFonts w:ascii="Arial" w:eastAsia="Arial" w:hAnsi="Arial" w:cs="Arial"/>
          <w:sz w:val="24"/>
          <w:szCs w:val="24"/>
        </w:rPr>
        <w:t>ional value added service, the S</w:t>
      </w:r>
      <w:r>
        <w:rPr>
          <w:rFonts w:ascii="Arial" w:eastAsia="Arial" w:hAnsi="Arial" w:cs="Arial"/>
          <w:sz w:val="24"/>
          <w:szCs w:val="24"/>
        </w:rPr>
        <w:t xml:space="preserve">econdment </w:t>
      </w:r>
      <w:r w:rsidR="00706BE1">
        <w:rPr>
          <w:rFonts w:ascii="Arial" w:eastAsia="Arial" w:hAnsi="Arial" w:cs="Arial"/>
          <w:sz w:val="24"/>
          <w:szCs w:val="24"/>
        </w:rPr>
        <w:t>Agreement S</w:t>
      </w:r>
      <w:r>
        <w:rPr>
          <w:rFonts w:ascii="Arial" w:eastAsia="Arial" w:hAnsi="Arial" w:cs="Arial"/>
          <w:sz w:val="24"/>
          <w:szCs w:val="24"/>
        </w:rPr>
        <w:t xml:space="preserve">chedule </w:t>
      </w:r>
      <w:r w:rsidR="00706BE1">
        <w:rPr>
          <w:rFonts w:ascii="Arial" w:eastAsia="Arial" w:hAnsi="Arial" w:cs="Arial"/>
          <w:sz w:val="24"/>
          <w:szCs w:val="24"/>
        </w:rPr>
        <w:t xml:space="preserve">at Annex 1 of this document </w:t>
      </w:r>
      <w:r>
        <w:rPr>
          <w:rFonts w:ascii="Arial" w:eastAsia="Arial" w:hAnsi="Arial" w:cs="Arial"/>
          <w:sz w:val="24"/>
          <w:szCs w:val="24"/>
        </w:rPr>
        <w:t>shall be used and adhered to.</w:t>
      </w:r>
    </w:p>
    <w:p w:rsidR="007D44AC" w:rsidRDefault="00DD0FA5">
      <w:pPr>
        <w:numPr>
          <w:ilvl w:val="2"/>
          <w:numId w:val="5"/>
        </w:numPr>
        <w:tabs>
          <w:tab w:val="left" w:pos="1134"/>
        </w:tabs>
        <w:spacing w:line="240" w:lineRule="auto"/>
        <w:rPr>
          <w:rFonts w:ascii="Arial" w:eastAsia="Arial" w:hAnsi="Arial" w:cs="Arial"/>
          <w:sz w:val="24"/>
          <w:szCs w:val="24"/>
        </w:rPr>
      </w:pPr>
      <w:r>
        <w:rPr>
          <w:rFonts w:ascii="Arial" w:eastAsia="Arial" w:hAnsi="Arial" w:cs="Arial"/>
          <w:sz w:val="24"/>
          <w:szCs w:val="24"/>
        </w:rPr>
        <w:t>The value added services mentioned above are not exhaustive and the Supplier may provide other value added services, such as it deems appropriate, to the Buyer(s) during the Framework Term.</w:t>
      </w:r>
    </w:p>
    <w:p w:rsidR="007D44AC" w:rsidRDefault="00DD0FA5">
      <w:pPr>
        <w:numPr>
          <w:ilvl w:val="3"/>
          <w:numId w:val="5"/>
        </w:numPr>
        <w:tabs>
          <w:tab w:val="left" w:pos="1134"/>
        </w:tabs>
        <w:spacing w:line="240" w:lineRule="auto"/>
        <w:rPr>
          <w:rFonts w:ascii="Arial" w:eastAsia="Arial" w:hAnsi="Arial" w:cs="Arial"/>
          <w:sz w:val="24"/>
          <w:szCs w:val="24"/>
        </w:rPr>
      </w:pPr>
      <w:r>
        <w:rPr>
          <w:rFonts w:ascii="Arial" w:eastAsia="Arial" w:hAnsi="Arial" w:cs="Arial"/>
          <w:sz w:val="24"/>
          <w:szCs w:val="24"/>
        </w:rPr>
        <w:lastRenderedPageBreak/>
        <w:t>For illustrative purposes these may include value added services such as access to meeting rooms, additional training or consultation on tools and processes which could be adopted in-house.</w:t>
      </w:r>
    </w:p>
    <w:p w:rsidR="007D44AC" w:rsidRDefault="00DD0FA5">
      <w:pPr>
        <w:numPr>
          <w:ilvl w:val="2"/>
          <w:numId w:val="5"/>
        </w:numPr>
        <w:tabs>
          <w:tab w:val="left" w:pos="1134"/>
        </w:tabs>
        <w:spacing w:line="240" w:lineRule="auto"/>
        <w:rPr>
          <w:rFonts w:ascii="Arial" w:eastAsia="Arial" w:hAnsi="Arial" w:cs="Arial"/>
          <w:sz w:val="24"/>
          <w:szCs w:val="24"/>
        </w:rPr>
      </w:pPr>
      <w:r>
        <w:rPr>
          <w:rFonts w:ascii="Arial" w:eastAsia="Arial" w:hAnsi="Arial" w:cs="Arial"/>
          <w:sz w:val="24"/>
          <w:szCs w:val="24"/>
        </w:rPr>
        <w:t>The Supplier shall provide any value added services which it outlines in its Tender Response to Buyers under the Framework.</w:t>
      </w:r>
    </w:p>
    <w:p w:rsidR="007D44AC" w:rsidRDefault="00DD0FA5">
      <w:pPr>
        <w:numPr>
          <w:ilvl w:val="1"/>
          <w:numId w:val="5"/>
        </w:numPr>
        <w:tabs>
          <w:tab w:val="left" w:pos="1134"/>
        </w:tabs>
        <w:spacing w:line="240" w:lineRule="auto"/>
        <w:rPr>
          <w:sz w:val="24"/>
          <w:szCs w:val="24"/>
        </w:rPr>
      </w:pPr>
      <w:r>
        <w:rPr>
          <w:rFonts w:ascii="Arial" w:eastAsia="Arial" w:hAnsi="Arial" w:cs="Arial"/>
          <w:b/>
          <w:sz w:val="24"/>
          <w:szCs w:val="24"/>
        </w:rPr>
        <w:t>Optional Supplier Personnel</w:t>
      </w:r>
    </w:p>
    <w:p w:rsidR="007D44AC" w:rsidRDefault="00DD0FA5">
      <w:pPr>
        <w:numPr>
          <w:ilvl w:val="2"/>
          <w:numId w:val="5"/>
        </w:numPr>
        <w:tabs>
          <w:tab w:val="left" w:pos="1134"/>
        </w:tabs>
        <w:spacing w:line="240" w:lineRule="auto"/>
        <w:rPr>
          <w:sz w:val="24"/>
          <w:szCs w:val="24"/>
        </w:rPr>
      </w:pPr>
      <w:r>
        <w:rPr>
          <w:rFonts w:ascii="Arial" w:eastAsia="Arial" w:hAnsi="Arial" w:cs="Arial"/>
          <w:sz w:val="24"/>
          <w:szCs w:val="24"/>
        </w:rPr>
        <w:t>In addition the Supplier may provide the following optional roles if they submit rates within their pricing submission:</w:t>
      </w:r>
    </w:p>
    <w:tbl>
      <w:tblPr>
        <w:tblStyle w:val="a0"/>
        <w:tblW w:w="8475" w:type="dxa"/>
        <w:tblInd w:w="630"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600" w:firstRow="0" w:lastRow="0" w:firstColumn="0" w:lastColumn="0" w:noHBand="1" w:noVBand="1"/>
      </w:tblPr>
      <w:tblGrid>
        <w:gridCol w:w="960"/>
        <w:gridCol w:w="1245"/>
        <w:gridCol w:w="1680"/>
        <w:gridCol w:w="4590"/>
      </w:tblGrid>
      <w:tr w:rsidR="007D44AC" w:rsidTr="007E1E77">
        <w:trPr>
          <w:trHeight w:val="690"/>
        </w:trPr>
        <w:tc>
          <w:tcPr>
            <w:tcW w:w="960" w:type="dxa"/>
            <w:tcBorders>
              <w:top w:val="single" w:sz="6" w:space="0" w:color="000000"/>
              <w:left w:val="single" w:sz="6" w:space="0" w:color="000000"/>
              <w:bottom w:val="single" w:sz="6" w:space="0" w:color="000000"/>
              <w:right w:val="single" w:sz="6" w:space="0" w:color="000000"/>
            </w:tcBorders>
            <w:shd w:val="clear" w:color="auto" w:fill="DBE5F1" w:themeFill="accent1" w:themeFillTint="33"/>
            <w:tcMar>
              <w:top w:w="0" w:type="dxa"/>
              <w:left w:w="0" w:type="dxa"/>
              <w:bottom w:w="0" w:type="dxa"/>
              <w:right w:w="0" w:type="dxa"/>
            </w:tcMar>
          </w:tcPr>
          <w:p w:rsidR="007D44AC" w:rsidRDefault="00DD0FA5">
            <w:pPr>
              <w:tabs>
                <w:tab w:val="left" w:pos="1134"/>
              </w:tabs>
              <w:spacing w:after="0" w:line="240" w:lineRule="auto"/>
              <w:jc w:val="center"/>
              <w:rPr>
                <w:rFonts w:ascii="Arial" w:eastAsia="Arial" w:hAnsi="Arial" w:cs="Arial"/>
                <w:b/>
                <w:sz w:val="24"/>
                <w:szCs w:val="24"/>
              </w:rPr>
            </w:pPr>
            <w:r>
              <w:rPr>
                <w:rFonts w:ascii="Arial" w:eastAsia="Arial" w:hAnsi="Arial" w:cs="Arial"/>
                <w:b/>
                <w:sz w:val="24"/>
                <w:szCs w:val="24"/>
              </w:rPr>
              <w:t>Grade Band</w:t>
            </w:r>
          </w:p>
        </w:tc>
        <w:tc>
          <w:tcPr>
            <w:tcW w:w="1245" w:type="dxa"/>
            <w:tcBorders>
              <w:top w:val="single" w:sz="6" w:space="0" w:color="000000"/>
              <w:left w:val="single" w:sz="6" w:space="0" w:color="000000"/>
              <w:bottom w:val="single" w:sz="6" w:space="0" w:color="000000"/>
              <w:right w:val="single" w:sz="6" w:space="0" w:color="000000"/>
            </w:tcBorders>
            <w:shd w:val="clear" w:color="auto" w:fill="DBE5F1" w:themeFill="accent1" w:themeFillTint="33"/>
            <w:tcMar>
              <w:top w:w="0" w:type="dxa"/>
              <w:left w:w="0" w:type="dxa"/>
              <w:bottom w:w="0" w:type="dxa"/>
              <w:right w:w="0" w:type="dxa"/>
            </w:tcMar>
          </w:tcPr>
          <w:p w:rsidR="007D44AC" w:rsidRDefault="00DD0FA5">
            <w:pPr>
              <w:tabs>
                <w:tab w:val="left" w:pos="1134"/>
              </w:tabs>
              <w:spacing w:after="0" w:line="240" w:lineRule="auto"/>
              <w:jc w:val="center"/>
              <w:rPr>
                <w:rFonts w:ascii="Arial" w:eastAsia="Arial" w:hAnsi="Arial" w:cs="Arial"/>
                <w:b/>
                <w:sz w:val="24"/>
                <w:szCs w:val="24"/>
              </w:rPr>
            </w:pPr>
            <w:r>
              <w:rPr>
                <w:rFonts w:ascii="Arial" w:eastAsia="Arial" w:hAnsi="Arial" w:cs="Arial"/>
                <w:b/>
                <w:sz w:val="24"/>
                <w:szCs w:val="24"/>
              </w:rPr>
              <w:t>Typical Years’ Relevant Experience</w:t>
            </w:r>
          </w:p>
        </w:tc>
        <w:tc>
          <w:tcPr>
            <w:tcW w:w="1680" w:type="dxa"/>
            <w:tcBorders>
              <w:top w:val="single" w:sz="6" w:space="0" w:color="000000"/>
              <w:left w:val="nil"/>
              <w:bottom w:val="single" w:sz="6" w:space="0" w:color="000000"/>
              <w:right w:val="single" w:sz="6" w:space="0" w:color="000000"/>
            </w:tcBorders>
            <w:shd w:val="clear" w:color="auto" w:fill="DBE5F1" w:themeFill="accent1" w:themeFillTint="33"/>
            <w:tcMar>
              <w:top w:w="0" w:type="dxa"/>
              <w:left w:w="0" w:type="dxa"/>
              <w:bottom w:w="0" w:type="dxa"/>
              <w:right w:w="0" w:type="dxa"/>
            </w:tcMar>
          </w:tcPr>
          <w:p w:rsidR="007D44AC" w:rsidRDefault="00DD0FA5">
            <w:pPr>
              <w:tabs>
                <w:tab w:val="left" w:pos="1134"/>
              </w:tabs>
              <w:spacing w:after="0" w:line="240" w:lineRule="auto"/>
              <w:jc w:val="center"/>
              <w:rPr>
                <w:rFonts w:ascii="Arial" w:eastAsia="Arial" w:hAnsi="Arial" w:cs="Arial"/>
                <w:b/>
                <w:sz w:val="24"/>
                <w:szCs w:val="24"/>
              </w:rPr>
            </w:pPr>
            <w:r>
              <w:rPr>
                <w:rFonts w:ascii="Arial" w:eastAsia="Arial" w:hAnsi="Arial" w:cs="Arial"/>
                <w:b/>
                <w:sz w:val="24"/>
                <w:szCs w:val="24"/>
              </w:rPr>
              <w:t xml:space="preserve">Positions which typically fall within grade band </w:t>
            </w:r>
          </w:p>
        </w:tc>
        <w:tc>
          <w:tcPr>
            <w:tcW w:w="4590" w:type="dxa"/>
            <w:tcBorders>
              <w:top w:val="single" w:sz="6" w:space="0" w:color="000000"/>
              <w:left w:val="nil"/>
              <w:bottom w:val="single" w:sz="6" w:space="0" w:color="000000"/>
              <w:right w:val="single" w:sz="6" w:space="0" w:color="000000"/>
            </w:tcBorders>
            <w:shd w:val="clear" w:color="auto" w:fill="DBE5F1" w:themeFill="accent1" w:themeFillTint="33"/>
            <w:tcMar>
              <w:top w:w="0" w:type="dxa"/>
              <w:left w:w="0" w:type="dxa"/>
              <w:bottom w:w="0" w:type="dxa"/>
              <w:right w:w="0" w:type="dxa"/>
            </w:tcMar>
          </w:tcPr>
          <w:p w:rsidR="007D44AC" w:rsidRDefault="00DD0FA5">
            <w:pPr>
              <w:tabs>
                <w:tab w:val="left" w:pos="1134"/>
              </w:tabs>
              <w:spacing w:after="0" w:line="240" w:lineRule="auto"/>
              <w:jc w:val="center"/>
              <w:rPr>
                <w:rFonts w:ascii="Arial" w:eastAsia="Arial" w:hAnsi="Arial" w:cs="Arial"/>
                <w:b/>
                <w:sz w:val="24"/>
                <w:szCs w:val="24"/>
              </w:rPr>
            </w:pPr>
            <w:r>
              <w:rPr>
                <w:rFonts w:ascii="Arial" w:eastAsia="Arial" w:hAnsi="Arial" w:cs="Arial"/>
                <w:b/>
                <w:sz w:val="24"/>
                <w:szCs w:val="24"/>
              </w:rPr>
              <w:t xml:space="preserve">Grade Description </w:t>
            </w:r>
          </w:p>
        </w:tc>
      </w:tr>
      <w:tr w:rsidR="007D44AC">
        <w:trPr>
          <w:trHeight w:val="690"/>
        </w:trPr>
        <w:tc>
          <w:tcPr>
            <w:tcW w:w="96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7D44AC" w:rsidRDefault="00DD0FA5">
            <w:pPr>
              <w:tabs>
                <w:tab w:val="left" w:pos="1134"/>
              </w:tabs>
              <w:spacing w:after="0" w:line="240" w:lineRule="auto"/>
              <w:jc w:val="center"/>
              <w:rPr>
                <w:rFonts w:ascii="Arial" w:eastAsia="Arial" w:hAnsi="Arial" w:cs="Arial"/>
                <w:sz w:val="24"/>
                <w:szCs w:val="24"/>
              </w:rPr>
            </w:pPr>
            <w:r>
              <w:rPr>
                <w:rFonts w:ascii="Arial" w:eastAsia="Arial" w:hAnsi="Arial" w:cs="Arial"/>
                <w:sz w:val="24"/>
                <w:szCs w:val="24"/>
              </w:rPr>
              <w:t>Senior Analyst​</w:t>
            </w:r>
          </w:p>
        </w:tc>
        <w:tc>
          <w:tcPr>
            <w:tcW w:w="124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7D44AC" w:rsidRDefault="00DD0FA5">
            <w:pPr>
              <w:tabs>
                <w:tab w:val="left" w:pos="1134"/>
              </w:tabs>
              <w:spacing w:after="0" w:line="240" w:lineRule="auto"/>
              <w:jc w:val="center"/>
              <w:rPr>
                <w:rFonts w:ascii="Arial" w:eastAsia="Arial" w:hAnsi="Arial" w:cs="Arial"/>
                <w:sz w:val="24"/>
                <w:szCs w:val="24"/>
              </w:rPr>
            </w:pPr>
            <w:r>
              <w:rPr>
                <w:rFonts w:ascii="Arial" w:eastAsia="Arial" w:hAnsi="Arial" w:cs="Arial"/>
                <w:sz w:val="24"/>
                <w:szCs w:val="24"/>
              </w:rPr>
              <w:t>4+​</w:t>
            </w:r>
          </w:p>
        </w:tc>
        <w:tc>
          <w:tcPr>
            <w:tcW w:w="1680" w:type="dxa"/>
            <w:tcBorders>
              <w:top w:val="single" w:sz="6" w:space="0" w:color="000000"/>
              <w:left w:val="nil"/>
              <w:bottom w:val="single" w:sz="6" w:space="0" w:color="000000"/>
              <w:right w:val="single" w:sz="6" w:space="0" w:color="000000"/>
            </w:tcBorders>
            <w:tcMar>
              <w:top w:w="0" w:type="dxa"/>
              <w:left w:w="0" w:type="dxa"/>
              <w:bottom w:w="0" w:type="dxa"/>
              <w:right w:w="0" w:type="dxa"/>
            </w:tcMar>
          </w:tcPr>
          <w:p w:rsidR="007D44AC" w:rsidRDefault="00DD0FA5">
            <w:pPr>
              <w:tabs>
                <w:tab w:val="left" w:pos="1134"/>
              </w:tabs>
              <w:spacing w:after="0" w:line="240" w:lineRule="auto"/>
              <w:jc w:val="center"/>
              <w:rPr>
                <w:rFonts w:ascii="Arial" w:eastAsia="Arial" w:hAnsi="Arial" w:cs="Arial"/>
                <w:sz w:val="24"/>
                <w:szCs w:val="24"/>
              </w:rPr>
            </w:pPr>
            <w:r>
              <w:rPr>
                <w:rFonts w:ascii="Arial" w:eastAsia="Arial" w:hAnsi="Arial" w:cs="Arial"/>
                <w:sz w:val="24"/>
                <w:szCs w:val="24"/>
              </w:rPr>
              <w:t>Senior Analyst​</w:t>
            </w:r>
          </w:p>
        </w:tc>
        <w:tc>
          <w:tcPr>
            <w:tcW w:w="4590" w:type="dxa"/>
            <w:tcBorders>
              <w:top w:val="single" w:sz="6" w:space="0" w:color="000000"/>
              <w:left w:val="nil"/>
              <w:bottom w:val="single" w:sz="6" w:space="0" w:color="000000"/>
              <w:right w:val="single" w:sz="6" w:space="0" w:color="000000"/>
            </w:tcBorders>
            <w:tcMar>
              <w:top w:w="0" w:type="dxa"/>
              <w:left w:w="0" w:type="dxa"/>
              <w:bottom w:w="0" w:type="dxa"/>
              <w:right w:w="0" w:type="dxa"/>
            </w:tcMar>
          </w:tcPr>
          <w:p w:rsidR="007D44AC" w:rsidRDefault="00DD0FA5">
            <w:pPr>
              <w:numPr>
                <w:ilvl w:val="0"/>
                <w:numId w:val="12"/>
              </w:numPr>
              <w:tabs>
                <w:tab w:val="left" w:pos="1134"/>
              </w:tabs>
              <w:spacing w:line="240" w:lineRule="auto"/>
              <w:rPr>
                <w:rFonts w:ascii="Arial" w:eastAsia="Arial" w:hAnsi="Arial" w:cs="Arial"/>
                <w:sz w:val="24"/>
                <w:szCs w:val="24"/>
              </w:rPr>
            </w:pPr>
            <w:r>
              <w:rPr>
                <w:rFonts w:ascii="Arial" w:eastAsia="Arial" w:hAnsi="Arial" w:cs="Arial"/>
                <w:sz w:val="24"/>
                <w:szCs w:val="24"/>
              </w:rPr>
              <w:t>Main day to day contact​</w:t>
            </w:r>
          </w:p>
          <w:p w:rsidR="007D44AC" w:rsidRDefault="00DD0FA5">
            <w:pPr>
              <w:numPr>
                <w:ilvl w:val="0"/>
                <w:numId w:val="12"/>
              </w:numPr>
              <w:tabs>
                <w:tab w:val="left" w:pos="1134"/>
              </w:tabs>
              <w:spacing w:line="240" w:lineRule="auto"/>
              <w:rPr>
                <w:rFonts w:ascii="Arial" w:eastAsia="Arial" w:hAnsi="Arial" w:cs="Arial"/>
                <w:sz w:val="24"/>
                <w:szCs w:val="24"/>
              </w:rPr>
            </w:pPr>
            <w:r>
              <w:rPr>
                <w:rFonts w:ascii="Arial" w:eastAsia="Arial" w:hAnsi="Arial" w:cs="Arial"/>
                <w:sz w:val="24"/>
                <w:szCs w:val="24"/>
              </w:rPr>
              <w:t>Responsibility for the quality assurance, management and supervision of the analysis​</w:t>
            </w:r>
          </w:p>
          <w:p w:rsidR="007D44AC" w:rsidRDefault="00DD0FA5">
            <w:pPr>
              <w:numPr>
                <w:ilvl w:val="0"/>
                <w:numId w:val="12"/>
              </w:numPr>
              <w:tabs>
                <w:tab w:val="left" w:pos="1134"/>
              </w:tabs>
              <w:spacing w:line="240" w:lineRule="auto"/>
              <w:rPr>
                <w:rFonts w:ascii="Arial" w:eastAsia="Arial" w:hAnsi="Arial" w:cs="Arial"/>
                <w:sz w:val="24"/>
                <w:szCs w:val="24"/>
              </w:rPr>
            </w:pPr>
            <w:r>
              <w:rPr>
                <w:rFonts w:ascii="Arial" w:eastAsia="Arial" w:hAnsi="Arial" w:cs="Arial"/>
                <w:sz w:val="24"/>
                <w:szCs w:val="24"/>
              </w:rPr>
              <w:t>Proven track record of providing analysis in support of legal arguments and in trade disputes, or in other similar environments, would be desirable.​</w:t>
            </w:r>
          </w:p>
        </w:tc>
      </w:tr>
      <w:tr w:rsidR="007D44AC">
        <w:trPr>
          <w:trHeight w:val="690"/>
        </w:trPr>
        <w:tc>
          <w:tcPr>
            <w:tcW w:w="96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7D44AC" w:rsidRDefault="00DD0FA5">
            <w:pPr>
              <w:tabs>
                <w:tab w:val="left" w:pos="1134"/>
              </w:tabs>
              <w:spacing w:after="0" w:line="240" w:lineRule="auto"/>
              <w:jc w:val="center"/>
              <w:rPr>
                <w:rFonts w:ascii="Arial" w:eastAsia="Arial" w:hAnsi="Arial" w:cs="Arial"/>
                <w:sz w:val="24"/>
                <w:szCs w:val="24"/>
              </w:rPr>
            </w:pPr>
            <w:r>
              <w:rPr>
                <w:rFonts w:ascii="Arial" w:eastAsia="Arial" w:hAnsi="Arial" w:cs="Arial"/>
                <w:sz w:val="24"/>
                <w:szCs w:val="24"/>
              </w:rPr>
              <w:t>Analyst​</w:t>
            </w:r>
          </w:p>
        </w:tc>
        <w:tc>
          <w:tcPr>
            <w:tcW w:w="124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7D44AC" w:rsidRDefault="00DD0FA5">
            <w:pPr>
              <w:tabs>
                <w:tab w:val="left" w:pos="1134"/>
              </w:tabs>
              <w:spacing w:after="0" w:line="240" w:lineRule="auto"/>
              <w:jc w:val="center"/>
              <w:rPr>
                <w:rFonts w:ascii="Arial" w:eastAsia="Arial" w:hAnsi="Arial" w:cs="Arial"/>
                <w:sz w:val="24"/>
                <w:szCs w:val="24"/>
              </w:rPr>
            </w:pPr>
            <w:r>
              <w:rPr>
                <w:rFonts w:ascii="Arial" w:eastAsia="Arial" w:hAnsi="Arial" w:cs="Arial"/>
                <w:sz w:val="24"/>
                <w:szCs w:val="24"/>
              </w:rPr>
              <w:t>2+​</w:t>
            </w:r>
          </w:p>
        </w:tc>
        <w:tc>
          <w:tcPr>
            <w:tcW w:w="1680" w:type="dxa"/>
            <w:tcBorders>
              <w:top w:val="single" w:sz="6" w:space="0" w:color="000000"/>
              <w:left w:val="nil"/>
              <w:bottom w:val="single" w:sz="6" w:space="0" w:color="000000"/>
              <w:right w:val="single" w:sz="6" w:space="0" w:color="000000"/>
            </w:tcBorders>
            <w:tcMar>
              <w:top w:w="0" w:type="dxa"/>
              <w:left w:w="0" w:type="dxa"/>
              <w:bottom w:w="0" w:type="dxa"/>
              <w:right w:w="0" w:type="dxa"/>
            </w:tcMar>
          </w:tcPr>
          <w:p w:rsidR="007D44AC" w:rsidRDefault="00DD0FA5">
            <w:pPr>
              <w:tabs>
                <w:tab w:val="left" w:pos="1134"/>
              </w:tabs>
              <w:spacing w:after="0" w:line="240" w:lineRule="auto"/>
              <w:jc w:val="center"/>
              <w:rPr>
                <w:rFonts w:ascii="Arial" w:eastAsia="Arial" w:hAnsi="Arial" w:cs="Arial"/>
                <w:sz w:val="24"/>
                <w:szCs w:val="24"/>
              </w:rPr>
            </w:pPr>
            <w:r>
              <w:rPr>
                <w:rFonts w:ascii="Arial" w:eastAsia="Arial" w:hAnsi="Arial" w:cs="Arial"/>
                <w:sz w:val="24"/>
                <w:szCs w:val="24"/>
              </w:rPr>
              <w:t>Analyst, Associate Analyst, Research Associate, Research Officer​</w:t>
            </w:r>
          </w:p>
        </w:tc>
        <w:tc>
          <w:tcPr>
            <w:tcW w:w="4590" w:type="dxa"/>
            <w:tcBorders>
              <w:top w:val="single" w:sz="6" w:space="0" w:color="000000"/>
              <w:left w:val="nil"/>
              <w:bottom w:val="single" w:sz="6" w:space="0" w:color="000000"/>
              <w:right w:val="single" w:sz="6" w:space="0" w:color="000000"/>
            </w:tcBorders>
            <w:tcMar>
              <w:top w:w="0" w:type="dxa"/>
              <w:left w:w="0" w:type="dxa"/>
              <w:bottom w:w="0" w:type="dxa"/>
              <w:right w:w="0" w:type="dxa"/>
            </w:tcMar>
          </w:tcPr>
          <w:p w:rsidR="007D44AC" w:rsidRDefault="00DD0FA5">
            <w:pPr>
              <w:numPr>
                <w:ilvl w:val="0"/>
                <w:numId w:val="4"/>
              </w:numPr>
              <w:tabs>
                <w:tab w:val="left" w:pos="1134"/>
              </w:tabs>
              <w:spacing w:line="240" w:lineRule="auto"/>
              <w:rPr>
                <w:rFonts w:ascii="Arial" w:eastAsia="Arial" w:hAnsi="Arial" w:cs="Arial"/>
                <w:sz w:val="24"/>
                <w:szCs w:val="24"/>
              </w:rPr>
            </w:pPr>
            <w:r>
              <w:rPr>
                <w:rFonts w:ascii="Arial" w:eastAsia="Arial" w:hAnsi="Arial" w:cs="Arial"/>
                <w:sz w:val="24"/>
                <w:szCs w:val="24"/>
              </w:rPr>
              <w:t>Junior analyst supporting the analytical team with conducting and writing up the analysis​</w:t>
            </w:r>
          </w:p>
        </w:tc>
      </w:tr>
      <w:tr w:rsidR="007D44AC">
        <w:trPr>
          <w:trHeight w:val="690"/>
        </w:trPr>
        <w:tc>
          <w:tcPr>
            <w:tcW w:w="96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7D44AC" w:rsidRDefault="00DD0FA5">
            <w:pPr>
              <w:tabs>
                <w:tab w:val="left" w:pos="1134"/>
              </w:tabs>
              <w:spacing w:after="0" w:line="240" w:lineRule="auto"/>
              <w:jc w:val="center"/>
              <w:rPr>
                <w:rFonts w:ascii="Arial" w:eastAsia="Arial" w:hAnsi="Arial" w:cs="Arial"/>
                <w:sz w:val="24"/>
                <w:szCs w:val="24"/>
              </w:rPr>
            </w:pPr>
            <w:r>
              <w:rPr>
                <w:rFonts w:ascii="Arial" w:eastAsia="Arial" w:hAnsi="Arial" w:cs="Arial"/>
                <w:sz w:val="24"/>
                <w:szCs w:val="24"/>
              </w:rPr>
              <w:t>Senior Modeller​</w:t>
            </w:r>
          </w:p>
        </w:tc>
        <w:tc>
          <w:tcPr>
            <w:tcW w:w="124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7D44AC" w:rsidRDefault="00DD0FA5">
            <w:pPr>
              <w:tabs>
                <w:tab w:val="left" w:pos="1134"/>
              </w:tabs>
              <w:spacing w:after="0" w:line="240" w:lineRule="auto"/>
              <w:jc w:val="center"/>
              <w:rPr>
                <w:rFonts w:ascii="Arial" w:eastAsia="Arial" w:hAnsi="Arial" w:cs="Arial"/>
                <w:sz w:val="24"/>
                <w:szCs w:val="24"/>
              </w:rPr>
            </w:pPr>
            <w:r>
              <w:rPr>
                <w:rFonts w:ascii="Arial" w:eastAsia="Arial" w:hAnsi="Arial" w:cs="Arial"/>
                <w:sz w:val="24"/>
                <w:szCs w:val="24"/>
              </w:rPr>
              <w:t>5+ of modelling experience​</w:t>
            </w:r>
          </w:p>
        </w:tc>
        <w:tc>
          <w:tcPr>
            <w:tcW w:w="1680" w:type="dxa"/>
            <w:tcBorders>
              <w:top w:val="single" w:sz="6" w:space="0" w:color="000000"/>
              <w:left w:val="nil"/>
              <w:bottom w:val="single" w:sz="6" w:space="0" w:color="000000"/>
              <w:right w:val="single" w:sz="6" w:space="0" w:color="000000"/>
            </w:tcBorders>
            <w:tcMar>
              <w:top w:w="0" w:type="dxa"/>
              <w:left w:w="0" w:type="dxa"/>
              <w:bottom w:w="0" w:type="dxa"/>
              <w:right w:w="0" w:type="dxa"/>
            </w:tcMar>
          </w:tcPr>
          <w:p w:rsidR="007D44AC" w:rsidRDefault="00DD0FA5">
            <w:pPr>
              <w:tabs>
                <w:tab w:val="left" w:pos="1134"/>
              </w:tabs>
              <w:spacing w:after="0" w:line="240" w:lineRule="auto"/>
              <w:jc w:val="center"/>
              <w:rPr>
                <w:rFonts w:ascii="Arial" w:eastAsia="Arial" w:hAnsi="Arial" w:cs="Arial"/>
                <w:sz w:val="24"/>
                <w:szCs w:val="24"/>
              </w:rPr>
            </w:pPr>
            <w:r>
              <w:rPr>
                <w:rFonts w:ascii="Arial" w:eastAsia="Arial" w:hAnsi="Arial" w:cs="Arial"/>
                <w:sz w:val="24"/>
                <w:szCs w:val="24"/>
              </w:rPr>
              <w:t>Senior Modeller, Senior Econometrician, Senior Analyst​</w:t>
            </w:r>
          </w:p>
        </w:tc>
        <w:tc>
          <w:tcPr>
            <w:tcW w:w="4590" w:type="dxa"/>
            <w:tcBorders>
              <w:top w:val="single" w:sz="6" w:space="0" w:color="000000"/>
              <w:left w:val="nil"/>
              <w:bottom w:val="single" w:sz="6" w:space="0" w:color="000000"/>
              <w:right w:val="single" w:sz="6" w:space="0" w:color="000000"/>
            </w:tcBorders>
            <w:tcMar>
              <w:top w:w="0" w:type="dxa"/>
              <w:left w:w="0" w:type="dxa"/>
              <w:bottom w:w="0" w:type="dxa"/>
              <w:right w:w="0" w:type="dxa"/>
            </w:tcMar>
          </w:tcPr>
          <w:p w:rsidR="007D44AC" w:rsidRDefault="00DD0FA5">
            <w:pPr>
              <w:numPr>
                <w:ilvl w:val="0"/>
                <w:numId w:val="8"/>
              </w:numPr>
              <w:tabs>
                <w:tab w:val="left" w:pos="1134"/>
              </w:tabs>
              <w:spacing w:line="240" w:lineRule="auto"/>
              <w:rPr>
                <w:rFonts w:ascii="Arial" w:eastAsia="Arial" w:hAnsi="Arial" w:cs="Arial"/>
                <w:sz w:val="24"/>
                <w:szCs w:val="24"/>
              </w:rPr>
            </w:pPr>
            <w:r>
              <w:rPr>
                <w:rFonts w:ascii="Arial" w:eastAsia="Arial" w:hAnsi="Arial" w:cs="Arial"/>
                <w:sz w:val="24"/>
                <w:szCs w:val="24"/>
              </w:rPr>
              <w:t>Skilled modeller with significant experience of applying economic models to estimate real world policy impacts – in particular partial equilibrium and gravity modelling​</w:t>
            </w:r>
          </w:p>
          <w:p w:rsidR="007D44AC" w:rsidRDefault="00DD0FA5">
            <w:pPr>
              <w:numPr>
                <w:ilvl w:val="0"/>
                <w:numId w:val="8"/>
              </w:numPr>
              <w:tabs>
                <w:tab w:val="left" w:pos="1134"/>
              </w:tabs>
              <w:spacing w:line="240" w:lineRule="auto"/>
              <w:rPr>
                <w:rFonts w:ascii="Arial" w:eastAsia="Arial" w:hAnsi="Arial" w:cs="Arial"/>
                <w:sz w:val="24"/>
                <w:szCs w:val="24"/>
              </w:rPr>
            </w:pPr>
            <w:r>
              <w:rPr>
                <w:rFonts w:ascii="Arial" w:eastAsia="Arial" w:hAnsi="Arial" w:cs="Arial"/>
                <w:sz w:val="24"/>
                <w:szCs w:val="24"/>
              </w:rPr>
              <w:t>Will have responsibility for designing the modelling approach and leading the completion of the modelling and analysis​</w:t>
            </w:r>
          </w:p>
          <w:p w:rsidR="007D44AC" w:rsidRDefault="00DD0FA5">
            <w:pPr>
              <w:numPr>
                <w:ilvl w:val="0"/>
                <w:numId w:val="8"/>
              </w:numPr>
              <w:tabs>
                <w:tab w:val="left" w:pos="1134"/>
              </w:tabs>
              <w:spacing w:line="240" w:lineRule="auto"/>
              <w:rPr>
                <w:rFonts w:ascii="Arial" w:eastAsia="Arial" w:hAnsi="Arial" w:cs="Arial"/>
                <w:sz w:val="24"/>
                <w:szCs w:val="24"/>
              </w:rPr>
            </w:pPr>
            <w:r>
              <w:rPr>
                <w:rFonts w:ascii="Arial" w:eastAsia="Arial" w:hAnsi="Arial" w:cs="Arial"/>
                <w:sz w:val="24"/>
                <w:szCs w:val="24"/>
              </w:rPr>
              <w:t>Main contact on the analytical detail and modelling​</w:t>
            </w:r>
          </w:p>
          <w:p w:rsidR="007D44AC" w:rsidRDefault="00DD0FA5">
            <w:pPr>
              <w:numPr>
                <w:ilvl w:val="0"/>
                <w:numId w:val="8"/>
              </w:numPr>
              <w:tabs>
                <w:tab w:val="left" w:pos="1134"/>
              </w:tabs>
              <w:spacing w:line="240" w:lineRule="auto"/>
              <w:rPr>
                <w:rFonts w:ascii="Arial" w:eastAsia="Arial" w:hAnsi="Arial" w:cs="Arial"/>
                <w:sz w:val="24"/>
                <w:szCs w:val="24"/>
              </w:rPr>
            </w:pPr>
            <w:r>
              <w:rPr>
                <w:rFonts w:ascii="Arial" w:eastAsia="Arial" w:hAnsi="Arial" w:cs="Arial"/>
                <w:sz w:val="24"/>
                <w:szCs w:val="24"/>
              </w:rPr>
              <w:lastRenderedPageBreak/>
              <w:t>​Proven track record of providing analysis in support of legal arguments and in trade disputes, or in other similar environments, would be desirable.​</w:t>
            </w:r>
          </w:p>
        </w:tc>
      </w:tr>
      <w:tr w:rsidR="007D44AC">
        <w:trPr>
          <w:trHeight w:val="690"/>
        </w:trPr>
        <w:tc>
          <w:tcPr>
            <w:tcW w:w="96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7D44AC" w:rsidRDefault="00DD0FA5">
            <w:pPr>
              <w:tabs>
                <w:tab w:val="left" w:pos="1134"/>
              </w:tabs>
              <w:spacing w:after="0" w:line="240" w:lineRule="auto"/>
              <w:jc w:val="center"/>
              <w:rPr>
                <w:rFonts w:ascii="Arial" w:eastAsia="Arial" w:hAnsi="Arial" w:cs="Arial"/>
                <w:sz w:val="24"/>
                <w:szCs w:val="24"/>
              </w:rPr>
            </w:pPr>
            <w:r>
              <w:rPr>
                <w:rFonts w:ascii="Arial" w:eastAsia="Arial" w:hAnsi="Arial" w:cs="Arial"/>
                <w:sz w:val="24"/>
                <w:szCs w:val="24"/>
              </w:rPr>
              <w:lastRenderedPageBreak/>
              <w:t>Modeller​</w:t>
            </w:r>
          </w:p>
        </w:tc>
        <w:tc>
          <w:tcPr>
            <w:tcW w:w="124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7D44AC" w:rsidRDefault="00DD0FA5">
            <w:pPr>
              <w:tabs>
                <w:tab w:val="left" w:pos="1134"/>
              </w:tabs>
              <w:spacing w:after="0" w:line="240" w:lineRule="auto"/>
              <w:jc w:val="center"/>
              <w:rPr>
                <w:rFonts w:ascii="Arial" w:eastAsia="Arial" w:hAnsi="Arial" w:cs="Arial"/>
                <w:sz w:val="24"/>
                <w:szCs w:val="24"/>
              </w:rPr>
            </w:pPr>
            <w:r>
              <w:rPr>
                <w:rFonts w:ascii="Arial" w:eastAsia="Arial" w:hAnsi="Arial" w:cs="Arial"/>
                <w:sz w:val="24"/>
                <w:szCs w:val="24"/>
              </w:rPr>
              <w:t>3+ of modelling experience​</w:t>
            </w:r>
          </w:p>
        </w:tc>
        <w:tc>
          <w:tcPr>
            <w:tcW w:w="1680" w:type="dxa"/>
            <w:tcBorders>
              <w:top w:val="single" w:sz="6" w:space="0" w:color="000000"/>
              <w:left w:val="nil"/>
              <w:bottom w:val="single" w:sz="6" w:space="0" w:color="000000"/>
              <w:right w:val="single" w:sz="6" w:space="0" w:color="000000"/>
            </w:tcBorders>
            <w:tcMar>
              <w:top w:w="0" w:type="dxa"/>
              <w:left w:w="0" w:type="dxa"/>
              <w:bottom w:w="0" w:type="dxa"/>
              <w:right w:w="0" w:type="dxa"/>
            </w:tcMar>
          </w:tcPr>
          <w:p w:rsidR="007D44AC" w:rsidRDefault="00DD0FA5">
            <w:pPr>
              <w:tabs>
                <w:tab w:val="left" w:pos="1134"/>
              </w:tabs>
              <w:spacing w:after="0" w:line="240" w:lineRule="auto"/>
              <w:jc w:val="center"/>
              <w:rPr>
                <w:rFonts w:ascii="Arial" w:eastAsia="Arial" w:hAnsi="Arial" w:cs="Arial"/>
                <w:sz w:val="24"/>
                <w:szCs w:val="24"/>
              </w:rPr>
            </w:pPr>
            <w:r>
              <w:rPr>
                <w:rFonts w:ascii="Arial" w:eastAsia="Arial" w:hAnsi="Arial" w:cs="Arial"/>
                <w:sz w:val="24"/>
                <w:szCs w:val="24"/>
              </w:rPr>
              <w:t>Modeller, Econometrician, Analyst, Associate Analyst​</w:t>
            </w:r>
          </w:p>
        </w:tc>
        <w:tc>
          <w:tcPr>
            <w:tcW w:w="4590" w:type="dxa"/>
            <w:tcBorders>
              <w:top w:val="single" w:sz="6" w:space="0" w:color="000000"/>
              <w:left w:val="nil"/>
              <w:bottom w:val="single" w:sz="6" w:space="0" w:color="000000"/>
              <w:right w:val="single" w:sz="6" w:space="0" w:color="000000"/>
            </w:tcBorders>
            <w:tcMar>
              <w:top w:w="0" w:type="dxa"/>
              <w:left w:w="0" w:type="dxa"/>
              <w:bottom w:w="0" w:type="dxa"/>
              <w:right w:w="0" w:type="dxa"/>
            </w:tcMar>
          </w:tcPr>
          <w:p w:rsidR="007D44AC" w:rsidRDefault="00DD0FA5">
            <w:pPr>
              <w:numPr>
                <w:ilvl w:val="0"/>
                <w:numId w:val="13"/>
              </w:numPr>
              <w:tabs>
                <w:tab w:val="left" w:pos="1134"/>
              </w:tabs>
              <w:spacing w:line="240" w:lineRule="auto"/>
              <w:rPr>
                <w:rFonts w:ascii="Arial" w:eastAsia="Arial" w:hAnsi="Arial" w:cs="Arial"/>
                <w:sz w:val="24"/>
                <w:szCs w:val="24"/>
              </w:rPr>
            </w:pPr>
            <w:r>
              <w:rPr>
                <w:rFonts w:ascii="Arial" w:eastAsia="Arial" w:hAnsi="Arial" w:cs="Arial"/>
                <w:sz w:val="24"/>
                <w:szCs w:val="24"/>
              </w:rPr>
              <w:t>Skilled modeller with some experience of applying economic models to estimate real world policy impacts – in particular partial equilibrium and gravity modelling​​</w:t>
            </w:r>
          </w:p>
          <w:p w:rsidR="007D44AC" w:rsidRDefault="00DD0FA5">
            <w:pPr>
              <w:numPr>
                <w:ilvl w:val="0"/>
                <w:numId w:val="13"/>
              </w:numPr>
              <w:tabs>
                <w:tab w:val="left" w:pos="1134"/>
              </w:tabs>
              <w:spacing w:line="240" w:lineRule="auto"/>
              <w:rPr>
                <w:rFonts w:ascii="Arial" w:eastAsia="Arial" w:hAnsi="Arial" w:cs="Arial"/>
                <w:sz w:val="24"/>
                <w:szCs w:val="24"/>
              </w:rPr>
            </w:pPr>
            <w:r>
              <w:rPr>
                <w:rFonts w:ascii="Arial" w:eastAsia="Arial" w:hAnsi="Arial" w:cs="Arial"/>
                <w:sz w:val="24"/>
                <w:szCs w:val="24"/>
              </w:rPr>
              <w:t>Junior analyst supporting the senior modeller in designing the modelling approach and completing the modelling and analysis​</w:t>
            </w:r>
          </w:p>
        </w:tc>
      </w:tr>
    </w:tbl>
    <w:p w:rsidR="007D44AC" w:rsidRDefault="007D44AC">
      <w:pPr>
        <w:shd w:val="clear" w:color="auto" w:fill="FFFFFF"/>
        <w:tabs>
          <w:tab w:val="left" w:pos="1134"/>
        </w:tabs>
        <w:spacing w:line="240" w:lineRule="auto"/>
        <w:ind w:left="1440" w:right="120"/>
        <w:jc w:val="both"/>
        <w:rPr>
          <w:rFonts w:ascii="Arial" w:eastAsia="Arial" w:hAnsi="Arial" w:cs="Arial"/>
          <w:sz w:val="24"/>
          <w:szCs w:val="24"/>
        </w:rPr>
      </w:pPr>
    </w:p>
    <w:p w:rsidR="007D44AC" w:rsidRDefault="00DD0FA5">
      <w:pPr>
        <w:numPr>
          <w:ilvl w:val="2"/>
          <w:numId w:val="5"/>
        </w:numPr>
        <w:tabs>
          <w:tab w:val="left" w:pos="1134"/>
        </w:tabs>
        <w:spacing w:after="0" w:line="240" w:lineRule="auto"/>
        <w:rPr>
          <w:rFonts w:ascii="Arial" w:eastAsia="Arial" w:hAnsi="Arial" w:cs="Arial"/>
          <w:sz w:val="24"/>
          <w:szCs w:val="24"/>
        </w:rPr>
      </w:pPr>
      <w:r>
        <w:rPr>
          <w:rFonts w:ascii="Arial" w:eastAsia="Arial" w:hAnsi="Arial" w:cs="Arial"/>
          <w:sz w:val="24"/>
          <w:szCs w:val="24"/>
        </w:rPr>
        <w:t>The above, does not include specialist academic experts who would only be used on a case by case basis.</w:t>
      </w:r>
    </w:p>
    <w:p w:rsidR="007D44AC" w:rsidRDefault="00DD0FA5">
      <w:pPr>
        <w:shd w:val="clear" w:color="auto" w:fill="FFFFFF"/>
        <w:tabs>
          <w:tab w:val="left" w:pos="1134"/>
        </w:tabs>
        <w:spacing w:after="0" w:line="240" w:lineRule="auto"/>
        <w:jc w:val="both"/>
        <w:rPr>
          <w:highlight w:val="yellow"/>
        </w:rPr>
      </w:pPr>
      <w:r>
        <w:rPr>
          <w:highlight w:val="yellow"/>
        </w:rPr>
        <w:t xml:space="preserve">  </w:t>
      </w:r>
    </w:p>
    <w:p w:rsidR="00AE1AD6" w:rsidRDefault="00DD0FA5">
      <w:pPr>
        <w:shd w:val="clear" w:color="auto" w:fill="FFFFFF"/>
        <w:tabs>
          <w:tab w:val="left" w:pos="1134"/>
        </w:tabs>
        <w:spacing w:after="0" w:line="240" w:lineRule="auto"/>
        <w:jc w:val="both"/>
        <w:rPr>
          <w:highlight w:val="yellow"/>
        </w:rPr>
      </w:pPr>
      <w:r>
        <w:rPr>
          <w:highlight w:val="yellow"/>
        </w:rPr>
        <w:t xml:space="preserve"> </w:t>
      </w:r>
      <w:r w:rsidR="00AE1AD6">
        <w:rPr>
          <w:highlight w:val="yellow"/>
        </w:rPr>
        <w:br w:type="page"/>
      </w:r>
    </w:p>
    <w:p w:rsidR="007D44AC" w:rsidRDefault="00D02924" w:rsidP="00D02924">
      <w:pPr>
        <w:shd w:val="clear" w:color="auto" w:fill="FFFFFF"/>
        <w:tabs>
          <w:tab w:val="left" w:pos="1134"/>
        </w:tabs>
        <w:spacing w:after="0" w:line="240" w:lineRule="auto"/>
        <w:jc w:val="center"/>
        <w:rPr>
          <w:rFonts w:ascii="Arial" w:hAnsi="Arial" w:cs="Arial"/>
          <w:b/>
          <w:sz w:val="28"/>
          <w:szCs w:val="28"/>
        </w:rPr>
      </w:pPr>
      <w:r w:rsidRPr="00D02924">
        <w:rPr>
          <w:rFonts w:ascii="Arial" w:hAnsi="Arial" w:cs="Arial"/>
          <w:b/>
          <w:sz w:val="28"/>
          <w:szCs w:val="28"/>
        </w:rPr>
        <w:lastRenderedPageBreak/>
        <w:t>Annex 1 – Secondment Agreement Schedule</w:t>
      </w:r>
    </w:p>
    <w:p w:rsidR="00D02924" w:rsidRDefault="00D02924" w:rsidP="00D02924">
      <w:pPr>
        <w:shd w:val="clear" w:color="auto" w:fill="FFFFFF"/>
        <w:tabs>
          <w:tab w:val="left" w:pos="1134"/>
        </w:tabs>
        <w:spacing w:after="0" w:line="240" w:lineRule="auto"/>
        <w:jc w:val="center"/>
        <w:rPr>
          <w:rFonts w:ascii="Arial" w:hAnsi="Arial" w:cs="Arial"/>
          <w:b/>
          <w:sz w:val="28"/>
          <w:szCs w:val="28"/>
        </w:rPr>
      </w:pPr>
    </w:p>
    <w:bookmarkStart w:id="1" w:name="_MON_1655290250"/>
    <w:bookmarkEnd w:id="1"/>
    <w:p w:rsidR="00D02924" w:rsidRPr="00D02924" w:rsidRDefault="003742F5" w:rsidP="00D02924">
      <w:pPr>
        <w:shd w:val="clear" w:color="auto" w:fill="FFFFFF"/>
        <w:tabs>
          <w:tab w:val="left" w:pos="1134"/>
        </w:tabs>
        <w:spacing w:after="0" w:line="240" w:lineRule="auto"/>
        <w:jc w:val="center"/>
        <w:rPr>
          <w:rFonts w:ascii="Arial" w:hAnsi="Arial" w:cs="Arial"/>
          <w:b/>
          <w:sz w:val="28"/>
          <w:szCs w:val="28"/>
        </w:rPr>
      </w:pPr>
      <w:r>
        <w:rPr>
          <w:rFonts w:ascii="Arial" w:hAnsi="Arial" w:cs="Arial"/>
          <w:b/>
          <w:sz w:val="28"/>
          <w:szCs w:val="28"/>
        </w:rPr>
        <w:object w:dxaOrig="1490" w:dyaOrig="9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4.65pt;height:49.5pt" o:ole="">
            <v:imagedata r:id="rId15" o:title=""/>
          </v:shape>
          <o:OLEObject Type="Embed" ProgID="Word.Document.12" ShapeID="_x0000_i1025" DrawAspect="Icon" ObjectID="_1655290312" r:id="rId16">
            <o:FieldCodes>\s</o:FieldCodes>
          </o:OLEObject>
        </w:object>
      </w:r>
      <w:bookmarkStart w:id="2" w:name="_GoBack"/>
      <w:bookmarkEnd w:id="2"/>
    </w:p>
    <w:p w:rsidR="007D44AC" w:rsidRDefault="007D44AC" w:rsidP="00D02924">
      <w:pPr>
        <w:shd w:val="clear" w:color="auto" w:fill="FFFFFF"/>
        <w:tabs>
          <w:tab w:val="left" w:pos="1134"/>
        </w:tabs>
        <w:spacing w:after="0" w:line="240" w:lineRule="auto"/>
        <w:jc w:val="center"/>
        <w:rPr>
          <w:highlight w:val="yellow"/>
        </w:rPr>
      </w:pPr>
      <w:bookmarkStart w:id="3" w:name="_heading=h.1fob9te" w:colFirst="0" w:colLast="0"/>
      <w:bookmarkEnd w:id="3"/>
    </w:p>
    <w:sectPr w:rsidR="007D44AC">
      <w:headerReference w:type="default" r:id="rId17"/>
      <w:footerReference w:type="default" r:id="rId18"/>
      <w:pgSz w:w="11906" w:h="16838"/>
      <w:pgMar w:top="1440" w:right="1440" w:bottom="1440" w:left="1440" w:header="708" w:footer="708" w:gutter="0"/>
      <w:pgNumType w:start="1"/>
      <w:cols w:space="720" w:equalWidth="0">
        <w:col w:w="9360"/>
      </w:col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41C4E" w:rsidRDefault="00741C4E">
      <w:pPr>
        <w:spacing w:after="0" w:line="240" w:lineRule="auto"/>
      </w:pPr>
      <w:r>
        <w:separator/>
      </w:r>
    </w:p>
  </w:endnote>
  <w:endnote w:type="continuationSeparator" w:id="0">
    <w:p w:rsidR="00741C4E" w:rsidRDefault="00741C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Bold">
    <w:panose1 w:val="020B0704020202020204"/>
    <w:charset w:val="00"/>
    <w:family w:val="roman"/>
    <w:notTrueType/>
    <w:pitch w:val="default"/>
  </w:font>
  <w:font w:name="STZhongsong">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44AC" w:rsidRDefault="007D44AC">
    <w:pPr>
      <w:tabs>
        <w:tab w:val="center" w:pos="4513"/>
        <w:tab w:val="right" w:pos="9026"/>
      </w:tabs>
      <w:spacing w:after="0"/>
      <w:jc w:val="both"/>
      <w:rPr>
        <w:color w:val="BFBFBF"/>
      </w:rPr>
    </w:pPr>
  </w:p>
  <w:p w:rsidR="007D44AC" w:rsidRDefault="00DD0FA5">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RM6183</w:t>
    </w:r>
    <w:r>
      <w:rPr>
        <w:rFonts w:ascii="Arial" w:eastAsia="Arial" w:hAnsi="Arial" w:cs="Arial"/>
        <w:sz w:val="20"/>
        <w:szCs w:val="20"/>
      </w:rPr>
      <w:tab/>
      <w:t xml:space="preserve">                                           </w:t>
    </w:r>
  </w:p>
  <w:p w:rsidR="007D44AC" w:rsidRDefault="00DD0FA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3742F5">
      <w:rPr>
        <w:rFonts w:ascii="Arial" w:eastAsia="Arial" w:hAnsi="Arial" w:cs="Arial"/>
        <w:noProof/>
        <w:color w:val="000000"/>
        <w:sz w:val="20"/>
        <w:szCs w:val="20"/>
      </w:rPr>
      <w:t>2</w:t>
    </w:r>
    <w:r>
      <w:rPr>
        <w:rFonts w:ascii="Arial" w:eastAsia="Arial" w:hAnsi="Arial" w:cs="Arial"/>
        <w:color w:val="000000"/>
        <w:sz w:val="20"/>
        <w:szCs w:val="20"/>
      </w:rPr>
      <w:fldChar w:fldCharType="end"/>
    </w:r>
  </w:p>
  <w:p w:rsidR="007D44AC" w:rsidRDefault="00DD0FA5">
    <w:pPr>
      <w:spacing w:after="0" w:line="240" w:lineRule="auto"/>
      <w:jc w:val="both"/>
    </w:pPr>
    <w:r>
      <w:rPr>
        <w:rFonts w:ascii="Arial" w:eastAsia="Arial" w:hAnsi="Arial" w:cs="Arial"/>
        <w:sz w:val="20"/>
        <w:szCs w:val="20"/>
      </w:rPr>
      <w:t>Model Version: v3.2</w:t>
    </w:r>
    <w:r>
      <w:tab/>
    </w:r>
    <w:r>
      <w:tab/>
    </w:r>
    <w:r>
      <w:tab/>
    </w:r>
    <w:r>
      <w:tab/>
    </w:r>
    <w:bookmarkStart w:id="4" w:name="bookmark=id.3znysh7" w:colFirst="0" w:colLast="0"/>
    <w:bookmarkEnd w:id="4"/>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41C4E" w:rsidRDefault="00741C4E">
      <w:pPr>
        <w:spacing w:after="0" w:line="240" w:lineRule="auto"/>
      </w:pPr>
      <w:r>
        <w:separator/>
      </w:r>
    </w:p>
  </w:footnote>
  <w:footnote w:type="continuationSeparator" w:id="0">
    <w:p w:rsidR="00741C4E" w:rsidRDefault="00741C4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44AC" w:rsidRDefault="00DD0FA5">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Framework Schedule 1 (Specification)</w:t>
    </w:r>
  </w:p>
  <w:p w:rsidR="007D44AC" w:rsidRDefault="00DD0FA5">
    <w:pPr>
      <w:pBdr>
        <w:top w:val="nil"/>
        <w:left w:val="nil"/>
        <w:bottom w:val="nil"/>
        <w:right w:val="nil"/>
        <w:between w:val="nil"/>
      </w:pBdr>
      <w:tabs>
        <w:tab w:val="center" w:pos="4513"/>
        <w:tab w:val="right" w:pos="9026"/>
      </w:tabs>
      <w:spacing w:after="0" w:line="240" w:lineRule="auto"/>
      <w:rPr>
        <w:rFonts w:ascii="Arial" w:eastAsia="Arial" w:hAnsi="Arial" w:cs="Arial"/>
        <w:b/>
        <w:color w:val="BFBFBF"/>
        <w:sz w:val="20"/>
        <w:szCs w:val="20"/>
      </w:rPr>
    </w:pPr>
    <w:r>
      <w:rPr>
        <w:rFonts w:ascii="Arial" w:eastAsia="Arial" w:hAnsi="Arial" w:cs="Arial"/>
        <w:color w:val="000000"/>
        <w:sz w:val="20"/>
        <w:szCs w:val="20"/>
      </w:rPr>
      <w:t>Crown Copyright 20</w:t>
    </w:r>
    <w:r w:rsidR="00AE1AD6">
      <w:rPr>
        <w:rFonts w:ascii="Arial" w:eastAsia="Arial" w:hAnsi="Arial" w:cs="Arial"/>
        <w:color w:val="000000"/>
        <w:sz w:val="20"/>
        <w:szCs w:val="20"/>
      </w:rPr>
      <w:t>20</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CD3670"/>
    <w:multiLevelType w:val="multilevel"/>
    <w:tmpl w:val="42426F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DB22457"/>
    <w:multiLevelType w:val="multilevel"/>
    <w:tmpl w:val="AAF057F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14E70FD4"/>
    <w:multiLevelType w:val="multilevel"/>
    <w:tmpl w:val="DD70B24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1B931FD8"/>
    <w:multiLevelType w:val="multilevel"/>
    <w:tmpl w:val="99E8E214"/>
    <w:lvl w:ilvl="0">
      <w:start w:val="1"/>
      <w:numFmt w:val="bullet"/>
      <w:pStyle w:val="GPSL1CLAUSEHEADING"/>
      <w:lvlText w:val="●"/>
      <w:lvlJc w:val="left"/>
      <w:pPr>
        <w:ind w:left="720" w:hanging="360"/>
      </w:pPr>
      <w:rPr>
        <w:rFonts w:ascii="Verdana" w:eastAsia="Verdana" w:hAnsi="Verdana" w:cs="Verdana"/>
        <w:sz w:val="18"/>
        <w:szCs w:val="18"/>
        <w:u w:val="none"/>
      </w:rPr>
    </w:lvl>
    <w:lvl w:ilvl="1">
      <w:start w:val="1"/>
      <w:numFmt w:val="bullet"/>
      <w:pStyle w:val="GPSL2numberedclause"/>
      <w:lvlText w:val="○"/>
      <w:lvlJc w:val="left"/>
      <w:pPr>
        <w:ind w:left="1440" w:hanging="360"/>
      </w:pPr>
      <w:rPr>
        <w:u w:val="none"/>
      </w:rPr>
    </w:lvl>
    <w:lvl w:ilvl="2">
      <w:start w:val="1"/>
      <w:numFmt w:val="bullet"/>
      <w:pStyle w:val="GPSL3numberedclause"/>
      <w:lvlText w:val="■"/>
      <w:lvlJc w:val="left"/>
      <w:pPr>
        <w:ind w:left="2160" w:hanging="360"/>
      </w:pPr>
      <w:rPr>
        <w:u w:val="none"/>
      </w:rPr>
    </w:lvl>
    <w:lvl w:ilvl="3">
      <w:start w:val="1"/>
      <w:numFmt w:val="bullet"/>
      <w:pStyle w:val="GPSL4numberedclause"/>
      <w:lvlText w:val="●"/>
      <w:lvlJc w:val="left"/>
      <w:pPr>
        <w:ind w:left="2880" w:hanging="360"/>
      </w:pPr>
      <w:rPr>
        <w:u w:val="none"/>
      </w:rPr>
    </w:lvl>
    <w:lvl w:ilvl="4">
      <w:start w:val="1"/>
      <w:numFmt w:val="bullet"/>
      <w:pStyle w:val="GPSL5numberedclause"/>
      <w:lvlText w:val="○"/>
      <w:lvlJc w:val="left"/>
      <w:pPr>
        <w:ind w:left="3600" w:hanging="360"/>
      </w:pPr>
      <w:rPr>
        <w:u w:val="none"/>
      </w:rPr>
    </w:lvl>
    <w:lvl w:ilvl="5">
      <w:start w:val="1"/>
      <w:numFmt w:val="bullet"/>
      <w:pStyle w:val="GPSL6numbered"/>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2042484C"/>
    <w:multiLevelType w:val="multilevel"/>
    <w:tmpl w:val="B9CC7C54"/>
    <w:lvl w:ilvl="0">
      <w:start w:val="1"/>
      <w:numFmt w:val="decimal"/>
      <w:lvlText w:val="%1."/>
      <w:lvlJc w:val="right"/>
      <w:pPr>
        <w:ind w:left="720" w:hanging="360"/>
      </w:pPr>
      <w:rPr>
        <w:rFonts w:ascii="Arial" w:eastAsia="Arial" w:hAnsi="Arial" w:cs="Arial"/>
        <w:sz w:val="22"/>
        <w:szCs w:val="22"/>
        <w:u w:val="none"/>
      </w:rPr>
    </w:lvl>
    <w:lvl w:ilvl="1">
      <w:start w:val="1"/>
      <w:numFmt w:val="decimal"/>
      <w:lvlText w:val="%1.%2."/>
      <w:lvlJc w:val="right"/>
      <w:pPr>
        <w:ind w:left="1440" w:hanging="360"/>
      </w:pPr>
      <w:rPr>
        <w:rFonts w:ascii="Arial" w:eastAsia="Arial" w:hAnsi="Arial" w:cs="Arial"/>
        <w:b w:val="0"/>
        <w:u w:val="none"/>
      </w:rPr>
    </w:lvl>
    <w:lvl w:ilvl="2">
      <w:start w:val="1"/>
      <w:numFmt w:val="decimal"/>
      <w:lvlText w:val="%1.%2.%3."/>
      <w:lvlJc w:val="right"/>
      <w:pPr>
        <w:ind w:left="2160" w:hanging="360"/>
      </w:pPr>
      <w:rPr>
        <w:rFonts w:ascii="Arial" w:eastAsia="Arial" w:hAnsi="Arial" w:cs="Arial"/>
        <w:b w:val="0"/>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5" w15:restartNumberingAfterBreak="0">
    <w:nsid w:val="27756B00"/>
    <w:multiLevelType w:val="multilevel"/>
    <w:tmpl w:val="54709F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2A1E0A58"/>
    <w:multiLevelType w:val="multilevel"/>
    <w:tmpl w:val="0E86937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2CFF71D1"/>
    <w:multiLevelType w:val="multilevel"/>
    <w:tmpl w:val="6B32C8F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430265C0"/>
    <w:multiLevelType w:val="multilevel"/>
    <w:tmpl w:val="A9583C24"/>
    <w:lvl w:ilvl="0">
      <w:start w:val="1"/>
      <w:numFmt w:val="bullet"/>
      <w:lvlText w:val="●"/>
      <w:lvlJc w:val="left"/>
      <w:pPr>
        <w:ind w:left="720" w:hanging="360"/>
      </w:pPr>
      <w:rPr>
        <w:rFonts w:ascii="Verdana" w:eastAsia="Verdana" w:hAnsi="Verdana" w:cs="Verdana"/>
        <w:sz w:val="18"/>
        <w:szCs w:val="18"/>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5A275BC9"/>
    <w:multiLevelType w:val="multilevel"/>
    <w:tmpl w:val="E8FA834A"/>
    <w:lvl w:ilvl="0">
      <w:start w:val="1"/>
      <w:numFmt w:val="bullet"/>
      <w:lvlText w:val="●"/>
      <w:lvlJc w:val="left"/>
      <w:pPr>
        <w:ind w:left="720" w:hanging="360"/>
      </w:pPr>
      <w:rPr>
        <w:rFonts w:ascii="Verdana" w:eastAsia="Verdana" w:hAnsi="Verdana" w:cs="Verdana"/>
        <w:sz w:val="18"/>
        <w:szCs w:val="18"/>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6A6E5EFD"/>
    <w:multiLevelType w:val="multilevel"/>
    <w:tmpl w:val="C00055B8"/>
    <w:lvl w:ilvl="0">
      <w:start w:val="1"/>
      <w:numFmt w:val="bullet"/>
      <w:lvlText w:val="●"/>
      <w:lvlJc w:val="left"/>
      <w:pPr>
        <w:ind w:left="720" w:hanging="360"/>
      </w:pPr>
      <w:rPr>
        <w:rFonts w:ascii="Verdana" w:eastAsia="Verdana" w:hAnsi="Verdana" w:cs="Verdana"/>
        <w:sz w:val="18"/>
        <w:szCs w:val="18"/>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pStyle w:val="Heading5"/>
      <w:lvlText w:val="○"/>
      <w:lvlJc w:val="left"/>
      <w:pPr>
        <w:ind w:left="3600" w:hanging="360"/>
      </w:pPr>
      <w:rPr>
        <w:u w:val="none"/>
      </w:rPr>
    </w:lvl>
    <w:lvl w:ilvl="5">
      <w:start w:val="1"/>
      <w:numFmt w:val="bullet"/>
      <w:pStyle w:val="Heading6"/>
      <w:lvlText w:val="■"/>
      <w:lvlJc w:val="left"/>
      <w:pPr>
        <w:ind w:left="4320" w:hanging="360"/>
      </w:pPr>
      <w:rPr>
        <w:u w:val="none"/>
      </w:rPr>
    </w:lvl>
    <w:lvl w:ilvl="6">
      <w:start w:val="1"/>
      <w:numFmt w:val="bullet"/>
      <w:pStyle w:val="Heading7"/>
      <w:lvlText w:val="●"/>
      <w:lvlJc w:val="left"/>
      <w:pPr>
        <w:ind w:left="5040" w:hanging="360"/>
      </w:pPr>
      <w:rPr>
        <w:u w:val="none"/>
      </w:rPr>
    </w:lvl>
    <w:lvl w:ilvl="7">
      <w:start w:val="1"/>
      <w:numFmt w:val="bullet"/>
      <w:pStyle w:val="Heading8"/>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7BC17D05"/>
    <w:multiLevelType w:val="multilevel"/>
    <w:tmpl w:val="FA7AC970"/>
    <w:lvl w:ilvl="0">
      <w:start w:val="2"/>
      <w:numFmt w:val="decimal"/>
      <w:lvlText w:val="%1."/>
      <w:lvlJc w:val="right"/>
      <w:pPr>
        <w:ind w:left="720" w:hanging="360"/>
      </w:pPr>
      <w:rPr>
        <w:rFonts w:ascii="Arial" w:eastAsia="Arial" w:hAnsi="Arial" w:cs="Arial"/>
        <w:b/>
        <w:sz w:val="22"/>
        <w:szCs w:val="22"/>
        <w:u w:val="none"/>
      </w:rPr>
    </w:lvl>
    <w:lvl w:ilvl="1">
      <w:start w:val="1"/>
      <w:numFmt w:val="decimal"/>
      <w:lvlText w:val="%1.%2."/>
      <w:lvlJc w:val="right"/>
      <w:pPr>
        <w:ind w:left="1440" w:hanging="360"/>
      </w:pPr>
      <w:rPr>
        <w:rFonts w:ascii="Arial" w:eastAsia="Arial" w:hAnsi="Arial" w:cs="Arial"/>
        <w:b w:val="0"/>
        <w:u w:val="none"/>
      </w:rPr>
    </w:lvl>
    <w:lvl w:ilvl="2">
      <w:start w:val="1"/>
      <w:numFmt w:val="decimal"/>
      <w:lvlText w:val="%1.%2.%3."/>
      <w:lvlJc w:val="right"/>
      <w:pPr>
        <w:ind w:left="2160" w:hanging="360"/>
      </w:pPr>
      <w:rPr>
        <w:rFonts w:ascii="Arial" w:eastAsia="Arial" w:hAnsi="Arial" w:cs="Arial"/>
        <w:b w:val="0"/>
        <w:u w:val="none"/>
      </w:rPr>
    </w:lvl>
    <w:lvl w:ilvl="3">
      <w:start w:val="1"/>
      <w:numFmt w:val="decimal"/>
      <w:lvlText w:val="%1.%2.%3.%4."/>
      <w:lvlJc w:val="right"/>
      <w:pPr>
        <w:ind w:left="2880" w:hanging="360"/>
      </w:pPr>
      <w:rPr>
        <w:rFonts w:ascii="Arial" w:eastAsia="Arial" w:hAnsi="Arial" w:cs="Arial"/>
        <w:b w:val="0"/>
        <w:u w:val="none"/>
      </w:rPr>
    </w:lvl>
    <w:lvl w:ilvl="4">
      <w:start w:val="1"/>
      <w:numFmt w:val="decimal"/>
      <w:lvlText w:val="%1.%2.%3.%4.%5."/>
      <w:lvlJc w:val="right"/>
      <w:pPr>
        <w:ind w:left="3600" w:hanging="360"/>
      </w:pPr>
      <w:rPr>
        <w:rFonts w:ascii="Arial" w:eastAsia="Arial" w:hAnsi="Arial" w:cs="Arial"/>
        <w:b w:val="0"/>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12" w15:restartNumberingAfterBreak="0">
    <w:nsid w:val="7C301777"/>
    <w:multiLevelType w:val="multilevel"/>
    <w:tmpl w:val="B448D358"/>
    <w:lvl w:ilvl="0">
      <w:start w:val="1"/>
      <w:numFmt w:val="bullet"/>
      <w:lvlText w:val="●"/>
      <w:lvlJc w:val="left"/>
      <w:pPr>
        <w:ind w:left="720" w:hanging="360"/>
      </w:pPr>
      <w:rPr>
        <w:rFonts w:ascii="Verdana" w:eastAsia="Verdana" w:hAnsi="Verdana" w:cs="Verdana"/>
        <w:sz w:val="18"/>
        <w:szCs w:val="18"/>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3"/>
  </w:num>
  <w:num w:numId="2">
    <w:abstractNumId w:val="10"/>
  </w:num>
  <w:num w:numId="3">
    <w:abstractNumId w:val="12"/>
  </w:num>
  <w:num w:numId="4">
    <w:abstractNumId w:val="6"/>
  </w:num>
  <w:num w:numId="5">
    <w:abstractNumId w:val="11"/>
  </w:num>
  <w:num w:numId="6">
    <w:abstractNumId w:val="8"/>
  </w:num>
  <w:num w:numId="7">
    <w:abstractNumId w:val="9"/>
  </w:num>
  <w:num w:numId="8">
    <w:abstractNumId w:val="1"/>
  </w:num>
  <w:num w:numId="9">
    <w:abstractNumId w:val="4"/>
  </w:num>
  <w:num w:numId="10">
    <w:abstractNumId w:val="2"/>
  </w:num>
  <w:num w:numId="11">
    <w:abstractNumId w:val="5"/>
  </w:num>
  <w:num w:numId="12">
    <w:abstractNumId w:val="0"/>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44AC"/>
    <w:rsid w:val="00083B4E"/>
    <w:rsid w:val="000901F5"/>
    <w:rsid w:val="000A5463"/>
    <w:rsid w:val="000F71E9"/>
    <w:rsid w:val="00193C6B"/>
    <w:rsid w:val="001A70CC"/>
    <w:rsid w:val="00215CBE"/>
    <w:rsid w:val="00271AFC"/>
    <w:rsid w:val="002F2661"/>
    <w:rsid w:val="00356DBA"/>
    <w:rsid w:val="003742F5"/>
    <w:rsid w:val="004101F0"/>
    <w:rsid w:val="00415069"/>
    <w:rsid w:val="0044205F"/>
    <w:rsid w:val="00537960"/>
    <w:rsid w:val="005A3C2C"/>
    <w:rsid w:val="005A4BDF"/>
    <w:rsid w:val="005E7376"/>
    <w:rsid w:val="006742AB"/>
    <w:rsid w:val="00684159"/>
    <w:rsid w:val="00706BE1"/>
    <w:rsid w:val="00741C4E"/>
    <w:rsid w:val="007D44AC"/>
    <w:rsid w:val="007E1E77"/>
    <w:rsid w:val="00957FA1"/>
    <w:rsid w:val="009D0EEF"/>
    <w:rsid w:val="00AD3961"/>
    <w:rsid w:val="00AE1AD6"/>
    <w:rsid w:val="00B77C9C"/>
    <w:rsid w:val="00C64446"/>
    <w:rsid w:val="00CD6D51"/>
    <w:rsid w:val="00CE5D07"/>
    <w:rsid w:val="00D02924"/>
    <w:rsid w:val="00D177CB"/>
    <w:rsid w:val="00D40353"/>
    <w:rsid w:val="00DD0FA5"/>
    <w:rsid w:val="00DE3630"/>
    <w:rsid w:val="00E40680"/>
    <w:rsid w:val="00E5197D"/>
    <w:rsid w:val="00EA1AC8"/>
    <w:rsid w:val="00ED15D2"/>
    <w:rsid w:val="00ED4449"/>
    <w:rsid w:val="00F5798A"/>
    <w:rsid w:val="00F7332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3442900-14EF-4D70-BF25-2FF6E9C4EB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link w:val="Heading2Char"/>
    <w:uiPriority w:val="9"/>
    <w:unhideWhenUsed/>
    <w:qFormat/>
    <w:rsid w:val="006126A6"/>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link w:val="Heading5Char"/>
    <w:pPr>
      <w:numPr>
        <w:ilvl w:val="4"/>
        <w:numId w:val="2"/>
      </w:numPr>
      <w:tabs>
        <w:tab w:val="left" w:pos="-5585"/>
      </w:tabs>
      <w:overflowPunct w:val="0"/>
      <w:autoSpaceDE w:val="0"/>
      <w:autoSpaceDN w:val="0"/>
      <w:spacing w:after="120" w:line="240" w:lineRule="auto"/>
      <w:jc w:val="both"/>
      <w:textAlignment w:val="baseline"/>
      <w:outlineLvl w:val="4"/>
    </w:pPr>
    <w:rPr>
      <w:rFonts w:ascii="Arial" w:eastAsia="Times New Roman" w:hAnsi="Arial" w:cs="Times New Roman"/>
    </w:rPr>
  </w:style>
  <w:style w:type="paragraph" w:styleId="Heading6">
    <w:name w:val="heading 6"/>
    <w:basedOn w:val="Heading5"/>
    <w:link w:val="Heading6Char"/>
    <w:pPr>
      <w:numPr>
        <w:ilvl w:val="5"/>
      </w:numPr>
      <w:tabs>
        <w:tab w:val="clear" w:pos="-5585"/>
        <w:tab w:val="left" w:pos="-8987"/>
        <w:tab w:val="left" w:pos="-8420"/>
      </w:tabs>
      <w:outlineLvl w:val="5"/>
    </w:pPr>
  </w:style>
  <w:style w:type="paragraph" w:styleId="Heading7">
    <w:name w:val="heading 7"/>
    <w:basedOn w:val="Heading6"/>
    <w:link w:val="Heading7Char"/>
    <w:pPr>
      <w:numPr>
        <w:ilvl w:val="6"/>
      </w:numPr>
      <w:tabs>
        <w:tab w:val="clear" w:pos="-8987"/>
        <w:tab w:val="clear" w:pos="-8420"/>
        <w:tab w:val="left" w:pos="-10688"/>
        <w:tab w:val="left" w:pos="-9554"/>
      </w:tabs>
      <w:outlineLvl w:val="6"/>
    </w:pPr>
  </w:style>
  <w:style w:type="paragraph" w:styleId="Heading8">
    <w:name w:val="heading 8"/>
    <w:basedOn w:val="Heading7"/>
    <w:link w:val="Heading8Char"/>
    <w:pPr>
      <w:numPr>
        <w:ilvl w:val="7"/>
      </w:numPr>
      <w:tabs>
        <w:tab w:val="clear" w:pos="-9554"/>
        <w:tab w:val="left" w:pos="-12360"/>
        <w:tab w:val="left" w:pos="-9383"/>
      </w:tabs>
      <w:outlineLvl w:val="7"/>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adjustRightInd w:val="0"/>
      <w:spacing w:before="120" w:after="120" w:line="240" w:lineRule="auto"/>
      <w:ind w:left="1134" w:hanging="567"/>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985" w:hanging="851"/>
    </w:pPr>
  </w:style>
  <w:style w:type="paragraph" w:customStyle="1" w:styleId="GPSL4numberedclause">
    <w:name w:val="GPS L4 numbered clause"/>
    <w:basedOn w:val="GPSL3numberedclause"/>
    <w:link w:val="GPSL4numberedclauseChar"/>
    <w:qFormat/>
    <w:pPr>
      <w:numPr>
        <w:ilvl w:val="3"/>
      </w:numPr>
      <w:tabs>
        <w:tab w:val="clear" w:pos="2127"/>
        <w:tab w:val="num" w:pos="360"/>
      </w:tabs>
      <w:ind w:left="2835" w:hanging="708"/>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L1SCHEDULEHeading">
    <w:name w:val="GPS L1 SCHEDULE Heading"/>
    <w:basedOn w:val="GPSL1CLAUSEHEADING"/>
    <w:link w:val="GPSL1SCHEDULEHeadingChar"/>
    <w:qFormat/>
    <w:pPr>
      <w:tabs>
        <w:tab w:val="clear" w:pos="0"/>
        <w:tab w:val="left" w:pos="567"/>
      </w:tabs>
      <w:spacing w:before="120"/>
      <w:ind w:left="567" w:hanging="567"/>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Heading5Char">
    <w:name w:val="Heading 5 Char"/>
    <w:basedOn w:val="DefaultParagraphFont"/>
    <w:link w:val="Heading5"/>
    <w:rPr>
      <w:rFonts w:ascii="Arial" w:eastAsia="Times New Roman" w:hAnsi="Arial" w:cs="Times New Roman"/>
    </w:rPr>
  </w:style>
  <w:style w:type="character" w:customStyle="1" w:styleId="Heading6Char">
    <w:name w:val="Heading 6 Char"/>
    <w:basedOn w:val="DefaultParagraphFont"/>
    <w:link w:val="Heading6"/>
    <w:rPr>
      <w:rFonts w:ascii="Arial" w:eastAsia="Times New Roman" w:hAnsi="Arial" w:cs="Times New Roman"/>
    </w:rPr>
  </w:style>
  <w:style w:type="character" w:customStyle="1" w:styleId="Heading7Char">
    <w:name w:val="Heading 7 Char"/>
    <w:basedOn w:val="DefaultParagraphFont"/>
    <w:link w:val="Heading7"/>
    <w:rPr>
      <w:rFonts w:ascii="Arial" w:eastAsia="Times New Roman" w:hAnsi="Arial" w:cs="Times New Roman"/>
    </w:rPr>
  </w:style>
  <w:style w:type="character" w:customStyle="1" w:styleId="Heading8Char">
    <w:name w:val="Heading 8 Char"/>
    <w:basedOn w:val="DefaultParagraphFont"/>
    <w:link w:val="Heading8"/>
    <w:rPr>
      <w:rFonts w:ascii="Arial" w:eastAsia="Times New Roman" w:hAnsi="Arial" w:cs="Times New Roman"/>
    </w:rPr>
  </w:style>
  <w:style w:type="numbering" w:customStyle="1" w:styleId="WWOutlineListStyle8">
    <w:name w:val="WW_OutlineListStyle_8"/>
    <w:basedOn w:val="NoList"/>
  </w:style>
  <w:style w:type="paragraph" w:styleId="ListParagraph">
    <w:name w:val="List Paragraph"/>
    <w:basedOn w:val="Normal"/>
    <w:pPr>
      <w:suppressAutoHyphens/>
      <w:autoSpaceDN w:val="0"/>
      <w:ind w:left="720"/>
      <w:textAlignment w:val="baseline"/>
    </w:pPr>
    <w:rPr>
      <w:rFonts w:cs="Times New Roman"/>
    </w:rPr>
  </w:style>
  <w:style w:type="character" w:styleId="CommentReference">
    <w:name w:val="annotation reference"/>
    <w:basedOn w:val="DefaultParagraphFont"/>
    <w:rPr>
      <w:sz w:val="16"/>
      <w:szCs w:val="16"/>
    </w:rPr>
  </w:style>
  <w:style w:type="paragraph" w:styleId="CommentText">
    <w:name w:val="annotation text"/>
    <w:basedOn w:val="Normal"/>
    <w:link w:val="CommentTextChar"/>
    <w:pPr>
      <w:suppressAutoHyphens/>
      <w:autoSpaceDN w:val="0"/>
      <w:spacing w:line="240" w:lineRule="auto"/>
      <w:textAlignment w:val="baseline"/>
    </w:pPr>
    <w:rPr>
      <w:rFonts w:cs="Times New Roman"/>
      <w:sz w:val="20"/>
      <w:szCs w:val="20"/>
    </w:rPr>
  </w:style>
  <w:style w:type="character" w:customStyle="1" w:styleId="CommentTextChar">
    <w:name w:val="Comment Text Char"/>
    <w:basedOn w:val="DefaultParagraphFont"/>
    <w:link w:val="CommentText"/>
    <w:rPr>
      <w:rFonts w:ascii="Calibri" w:eastAsia="Calibri" w:hAnsi="Calibri" w:cs="Times New Roman"/>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MarginText">
    <w:name w:val="Margin Text"/>
    <w:basedOn w:val="Normal"/>
    <w:link w:val="MarginTextChar"/>
    <w:pPr>
      <w:keepNext/>
      <w:adjustRightInd w:val="0"/>
      <w:spacing w:before="240" w:after="120" w:line="240" w:lineRule="auto"/>
      <w:ind w:left="142"/>
      <w:jc w:val="both"/>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2NumberedBoldHeading">
    <w:name w:val="GPS L2 Numbered Bold Heading"/>
    <w:basedOn w:val="Normal"/>
    <w:link w:val="GPSL2NumberedBoldHeadingChar"/>
    <w:qFormat/>
    <w:pPr>
      <w:tabs>
        <w:tab w:val="left" w:pos="1134"/>
      </w:tabs>
      <w:adjustRightInd w:val="0"/>
      <w:spacing w:before="120" w:after="120" w:line="240" w:lineRule="auto"/>
      <w:ind w:left="644" w:hanging="218"/>
      <w:jc w:val="both"/>
    </w:pPr>
    <w:rPr>
      <w:rFonts w:eastAsia="Times New Roman" w:cs="Arial"/>
      <w:b/>
      <w:lang w:eastAsia="zh-CN"/>
    </w:rPr>
  </w:style>
  <w:style w:type="paragraph" w:customStyle="1" w:styleId="GPSL2Guidance">
    <w:name w:val="GPS L2 Guidance"/>
    <w:basedOn w:val="Normal"/>
    <w:link w:val="GPSL2GuidanceChar"/>
    <w:qFormat/>
    <w:pPr>
      <w:tabs>
        <w:tab w:val="left" w:pos="1134"/>
      </w:tabs>
      <w:adjustRightInd w:val="0"/>
      <w:spacing w:before="120" w:after="120" w:line="240" w:lineRule="auto"/>
      <w:ind w:left="1134"/>
      <w:jc w:val="both"/>
    </w:pPr>
    <w:rPr>
      <w:rFonts w:eastAsia="Times New Roman" w:cs="Arial"/>
      <w:b/>
      <w:i/>
      <w:lang w:eastAsia="zh-CN"/>
    </w:rPr>
  </w:style>
  <w:style w:type="paragraph" w:customStyle="1" w:styleId="GPSSchPart">
    <w:name w:val="GPS Sch Part"/>
    <w:basedOn w:val="Normal"/>
    <w:link w:val="GPSSchPartChar"/>
    <w:qFormat/>
    <w:pPr>
      <w:keepNext/>
      <w:adjustRightInd w:val="0"/>
      <w:spacing w:before="240" w:after="240" w:line="240" w:lineRule="auto"/>
      <w:ind w:firstLine="426"/>
      <w:jc w:val="center"/>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left" w:pos="709"/>
      </w:tabs>
      <w:ind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2GuidanceChar">
    <w:name w:val="GPS L2 Guidance Char"/>
    <w:link w:val="GPSL2Guidance"/>
    <w:rPr>
      <w:rFonts w:ascii="Calibri" w:eastAsia="Times New Roman" w:hAnsi="Calibri" w:cs="Arial"/>
      <w:b/>
      <w:i/>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character" w:customStyle="1" w:styleId="GPSL4numberedclauseChar">
    <w:name w:val="GPS L4 numbered clause Char"/>
    <w:link w:val="GPSL4numberedclause"/>
    <w:locked/>
    <w:rPr>
      <w:rFonts w:ascii="Calibri" w:eastAsia="Times New Roman" w:hAnsi="Calibri" w:cs="Arial"/>
      <w:szCs w:val="20"/>
      <w:lang w:eastAsia="zh-CN"/>
    </w:rPr>
  </w:style>
  <w:style w:type="character" w:customStyle="1" w:styleId="GPSL5numberedclauseChar">
    <w:name w:val="GPS L5 numbered clause Char"/>
    <w:link w:val="GPSL5numberedclause"/>
    <w:locked/>
    <w:rPr>
      <w:rFonts w:ascii="Calibri" w:eastAsia="Times New Roman" w:hAnsi="Calibri" w:cs="Arial"/>
      <w:szCs w:val="20"/>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eastAsia="Times New Roman" w:cs="Arial"/>
      <w:b/>
      <w:i/>
    </w:rPr>
  </w:style>
  <w:style w:type="paragraph" w:customStyle="1" w:styleId="GPSL3Guidance">
    <w:name w:val="GPS L3 Guidance"/>
    <w:basedOn w:val="GPSL3numberedclause"/>
    <w:link w:val="GPSL3GuidanceChar"/>
    <w:qFormat/>
    <w:pPr>
      <w:numPr>
        <w:ilvl w:val="0"/>
        <w:numId w:val="0"/>
      </w:numPr>
      <w:tabs>
        <w:tab w:val="clear" w:pos="2127"/>
      </w:tabs>
      <w:ind w:left="1985"/>
    </w:pPr>
    <w:rPr>
      <w:b/>
      <w:i/>
    </w:rPr>
  </w:style>
  <w:style w:type="paragraph" w:customStyle="1" w:styleId="GPSL4Guidance">
    <w:name w:val="GPS L4 Guidance"/>
    <w:basedOn w:val="GPSL3Guidance"/>
    <w:link w:val="GPSL4GuidanceChar"/>
    <w:qFormat/>
  </w:style>
  <w:style w:type="character" w:customStyle="1" w:styleId="GPSL4GuidanceChar">
    <w:name w:val="GPS L4 Guidance Char"/>
    <w:link w:val="GPSL4Guidance"/>
    <w:locked/>
    <w:rPr>
      <w:rFonts w:ascii="Calibri" w:eastAsia="Times New Roman" w:hAnsi="Calibri" w:cs="Arial"/>
      <w:b/>
      <w:i/>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L3GuidanceChar">
    <w:name w:val="GPS L3 Guidance Char"/>
    <w:link w:val="GPSL3Guidance"/>
    <w:rPr>
      <w:rFonts w:ascii="Calibri" w:eastAsia="Times New Roman" w:hAnsi="Calibri" w:cs="Arial"/>
      <w:b/>
      <w:i/>
      <w:lang w:eastAsia="zh-CN"/>
    </w:rPr>
  </w:style>
  <w:style w:type="paragraph" w:styleId="CommentSubject">
    <w:name w:val="annotation subject"/>
    <w:basedOn w:val="CommentText"/>
    <w:next w:val="CommentText"/>
    <w:link w:val="CommentSubjectChar"/>
    <w:uiPriority w:val="99"/>
    <w:semiHidden/>
    <w:unhideWhenUsed/>
    <w:pPr>
      <w:suppressAutoHyphens w:val="0"/>
      <w:autoSpaceDN/>
      <w:textAlignment w:val="auto"/>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Revision">
    <w:name w:val="Revision"/>
    <w:hidden/>
    <w:uiPriority w:val="99"/>
    <w:semiHidden/>
    <w:pPr>
      <w:spacing w:after="0" w:line="240" w:lineRule="auto"/>
    </w:p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6126A6"/>
    <w:rPr>
      <w:rFonts w:asciiTheme="majorHAnsi" w:eastAsiaTheme="majorEastAsia" w:hAnsiTheme="majorHAnsi" w:cstheme="majorBidi"/>
      <w:color w:val="365F91" w:themeColor="accent1" w:themeShade="BF"/>
      <w:sz w:val="26"/>
      <w:szCs w:val="26"/>
    </w:rPr>
  </w:style>
  <w:style w:type="table" w:customStyle="1" w:styleId="4">
    <w:name w:val="4"/>
    <w:basedOn w:val="TableNormal"/>
    <w:rsid w:val="006126A6"/>
    <w:pPr>
      <w:pBdr>
        <w:top w:val="nil"/>
        <w:left w:val="nil"/>
        <w:bottom w:val="nil"/>
        <w:right w:val="nil"/>
        <w:between w:val="nil"/>
      </w:pBdr>
      <w:spacing w:after="0" w:line="240" w:lineRule="auto"/>
      <w:ind w:left="-30"/>
    </w:pPr>
    <w:rPr>
      <w:rFonts w:ascii="Arial" w:eastAsia="Arial" w:hAnsi="Arial" w:cs="Arial"/>
      <w:color w:val="000000"/>
      <w:sz w:val="24"/>
      <w:szCs w:val="24"/>
    </w:rPr>
    <w:tblPr>
      <w:tblStyleRowBandSize w:val="1"/>
      <w:tblStyleColBandSize w:val="1"/>
      <w:tblCellMar>
        <w:top w:w="100" w:type="dxa"/>
        <w:left w:w="100" w:type="dxa"/>
        <w:bottom w:w="100" w:type="dxa"/>
        <w:right w:w="100" w:type="dxa"/>
      </w:tblCellMar>
    </w:tbl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www.crowncommercial.gov.uk/agreements/RM3786" TargetMode="External"/><Relationship Id="rId13" Type="http://schemas.openxmlformats.org/officeDocument/2006/relationships/hyperlink" Target="https://assets.publishing.service.gov.uk/government/uploads/system/uploads/attachment_data/file/736503/Legal_Risk_Guidance_-_Amended_July_2015.pdf"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gov.uk/solicitor-s-practising-certificate-england-wales"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package" Target="embeddings/Microsoft_Word_Document1.doc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uk/solicitor-s-practising-certificate-england-wales" TargetMode="External"/><Relationship Id="rId5" Type="http://schemas.openxmlformats.org/officeDocument/2006/relationships/webSettings" Target="webSettings.xml"/><Relationship Id="rId15" Type="http://schemas.openxmlformats.org/officeDocument/2006/relationships/image" Target="media/image1.emf"/><Relationship Id="rId10" Type="http://schemas.openxmlformats.org/officeDocument/2006/relationships/hyperlink" Target="https://www.crowncommercial.gov.uk/agreements/RM3756"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crowncommercial.gov.uk/agreements/RM3787" TargetMode="External"/><Relationship Id="rId14" Type="http://schemas.openxmlformats.org/officeDocument/2006/relationships/hyperlink" Target="https://www.gov.uk/government/publications/government-security-classification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onO/1Oh33YqyiDn8bMmZwdpVBuQ==">AMUW2mU2/ok+/SV7A9VQkB3/+sgPNIu4sWrTDO01hBVYGFWNwJWRDQvnh7YZ597j7IT5BIYhuh01kP983OD/VeJnGvWmQBXJ9f3L2OX5Yu+Iu8AH5mKcAhO7wWBY0QupoIQ6offsxeOoTNPNlesofOW+2n6eSbHFCMDoWi3S6t3/2YrLOqfwQuRudebMwcu9OH1tk9g1UTJp</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6308</Words>
  <Characters>35960</Characters>
  <Application>Microsoft Office Word</Application>
  <DocSecurity>0</DocSecurity>
  <Lines>299</Lines>
  <Paragraphs>84</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42184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Janine Cato</dc:creator>
  <cp:lastModifiedBy>Alison Jones</cp:lastModifiedBy>
  <cp:revision>2</cp:revision>
  <dcterms:created xsi:type="dcterms:W3CDTF">2020-07-03T13:05:00Z</dcterms:created>
  <dcterms:modified xsi:type="dcterms:W3CDTF">2020-07-03T13:05:00Z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13 September 2017 D1V2</vt:lpwstr>
  </property>
</Properties>
</file>